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94E1" w14:textId="6300F717" w:rsidR="003A1F88" w:rsidRPr="00CA4505" w:rsidRDefault="003A1F88" w:rsidP="008C3902"/>
    <w:p w14:paraId="25005E45" w14:textId="77777777" w:rsidR="003A1F88" w:rsidRPr="00CA4505" w:rsidRDefault="003A1F88" w:rsidP="008C3902"/>
    <w:p w14:paraId="1A2D5170" w14:textId="4449F90C" w:rsidR="003A1F88" w:rsidRDefault="003A1F88" w:rsidP="008C3902"/>
    <w:p w14:paraId="64E409AA" w14:textId="1E98E34B" w:rsidR="008A5A85" w:rsidRDefault="008A5A85" w:rsidP="008C3902"/>
    <w:p w14:paraId="6A548325" w14:textId="6BDC2815" w:rsidR="008A5A85" w:rsidRDefault="008A5A85" w:rsidP="008C3902"/>
    <w:p w14:paraId="77FA90D5" w14:textId="756C3E9E" w:rsidR="008A5A85" w:rsidRDefault="008A5A85" w:rsidP="008C3902"/>
    <w:p w14:paraId="54AB1E9F" w14:textId="1DFA0B7D" w:rsidR="008A5A85" w:rsidRDefault="008A5A85" w:rsidP="008C3902"/>
    <w:p w14:paraId="1C9775E8" w14:textId="61571001" w:rsidR="008A5A85" w:rsidRDefault="008A5A85" w:rsidP="008C3902"/>
    <w:p w14:paraId="640DEC4C" w14:textId="77777777" w:rsidR="008A5A85" w:rsidRPr="00CA4505" w:rsidRDefault="008A5A85" w:rsidP="008C3902"/>
    <w:p w14:paraId="5799FD65" w14:textId="77777777" w:rsidR="003A1F88" w:rsidRPr="00CA4505" w:rsidRDefault="003A1F88" w:rsidP="008C3902"/>
    <w:p w14:paraId="197DCE3A" w14:textId="2D640AA7" w:rsidR="000654AD" w:rsidRDefault="00527C34" w:rsidP="00527C34">
      <w:pPr>
        <w:jc w:val="left"/>
      </w:pPr>
      <w:r>
        <w:t xml:space="preserve">IMPLEMENTÁCIA EETS </w:t>
      </w:r>
    </w:p>
    <w:p w14:paraId="59114DDD" w14:textId="09D05C9E" w:rsidR="000654AD" w:rsidRPr="005A7D49" w:rsidRDefault="000654AD" w:rsidP="00527C34">
      <w:pPr>
        <w:jc w:val="left"/>
        <w:rPr>
          <w:sz w:val="18"/>
        </w:rPr>
      </w:pPr>
      <w:r w:rsidRPr="005A7D49">
        <w:rPr>
          <w:sz w:val="18"/>
        </w:rPr>
        <w:t>VYBUDOVANIE ROZHRANIA EETS</w:t>
      </w:r>
    </w:p>
    <w:p w14:paraId="499ADF03" w14:textId="09A0C2F7" w:rsidR="00D52E50" w:rsidRPr="005A7D49" w:rsidRDefault="00527C34" w:rsidP="00527C34">
      <w:pPr>
        <w:jc w:val="left"/>
        <w:rPr>
          <w:sz w:val="18"/>
        </w:rPr>
      </w:pPr>
      <w:r w:rsidRPr="005A7D49">
        <w:rPr>
          <w:sz w:val="18"/>
        </w:rPr>
        <w:t>ROZŠÍRENI</w:t>
      </w:r>
      <w:r w:rsidR="000654AD" w:rsidRPr="005A7D49">
        <w:rPr>
          <w:sz w:val="18"/>
        </w:rPr>
        <w:t>E</w:t>
      </w:r>
      <w:r w:rsidRPr="005A7D49">
        <w:rPr>
          <w:sz w:val="18"/>
        </w:rPr>
        <w:t xml:space="preserve"> KOMPLEXNEJ SLUŽBY ELEKTRONICKÉHO VÝBERU MÝTA</w:t>
      </w:r>
    </w:p>
    <w:p w14:paraId="2AEC9B29" w14:textId="77777777" w:rsidR="00527C34" w:rsidRDefault="00527C34" w:rsidP="008C3902"/>
    <w:p w14:paraId="556A4F54" w14:textId="3B75A2A0" w:rsidR="00D52E50" w:rsidRPr="00CA4505" w:rsidRDefault="00527C34" w:rsidP="008C3902">
      <w:r>
        <w:t>ANALÝZA NÁKLADOV A PRÍNOSOV</w:t>
      </w:r>
    </w:p>
    <w:p w14:paraId="39AEB59E" w14:textId="165B2F91" w:rsidR="00D52E50" w:rsidRPr="00CA4505" w:rsidRDefault="00D52E50" w:rsidP="00841E06">
      <w:pPr>
        <w:pStyle w:val="Default"/>
        <w:jc w:val="both"/>
        <w:rPr>
          <w:sz w:val="20"/>
          <w:szCs w:val="20"/>
        </w:rPr>
      </w:pPr>
    </w:p>
    <w:p w14:paraId="7E7A399F" w14:textId="77777777" w:rsidR="00D52E50" w:rsidRPr="00CA4505" w:rsidRDefault="00D52E50" w:rsidP="00841E06">
      <w:pPr>
        <w:pStyle w:val="Default"/>
        <w:jc w:val="both"/>
        <w:rPr>
          <w:sz w:val="20"/>
          <w:szCs w:val="20"/>
        </w:rPr>
      </w:pPr>
    </w:p>
    <w:p w14:paraId="308079B5" w14:textId="66FF58B0" w:rsidR="008A5A85" w:rsidRDefault="008A5A85" w:rsidP="008C3902"/>
    <w:p w14:paraId="6CFA3692" w14:textId="560C68B0" w:rsidR="00332B6F" w:rsidRDefault="00332B6F" w:rsidP="008C3902"/>
    <w:p w14:paraId="35190646" w14:textId="77777777" w:rsidR="00332B6F" w:rsidRDefault="00332B6F" w:rsidP="008C3902"/>
    <w:p w14:paraId="75379285" w14:textId="77777777" w:rsidR="008A5A85" w:rsidRDefault="008A5A85">
      <w:pPr>
        <w:spacing w:before="0" w:after="0" w:line="240" w:lineRule="auto"/>
        <w:jc w:val="left"/>
      </w:pPr>
    </w:p>
    <w:p w14:paraId="46E2B182" w14:textId="77777777" w:rsidR="008A5A85" w:rsidRDefault="008A5A85">
      <w:pPr>
        <w:spacing w:before="0" w:after="0" w:line="240" w:lineRule="auto"/>
        <w:jc w:val="left"/>
      </w:pPr>
    </w:p>
    <w:p w14:paraId="47D5687F" w14:textId="77777777" w:rsidR="008A5A85" w:rsidRDefault="008A5A85">
      <w:pPr>
        <w:spacing w:before="0" w:after="0" w:line="240" w:lineRule="auto"/>
        <w:jc w:val="left"/>
      </w:pPr>
    </w:p>
    <w:p w14:paraId="3168A63B" w14:textId="77777777" w:rsidR="008A5A85" w:rsidRDefault="008A5A85">
      <w:pPr>
        <w:spacing w:before="0" w:after="0" w:line="240" w:lineRule="auto"/>
        <w:jc w:val="left"/>
      </w:pPr>
    </w:p>
    <w:p w14:paraId="2D68A340" w14:textId="77777777" w:rsidR="008A5A85" w:rsidRDefault="008A5A85">
      <w:pPr>
        <w:spacing w:before="0" w:after="0" w:line="240" w:lineRule="auto"/>
        <w:jc w:val="left"/>
      </w:pPr>
    </w:p>
    <w:p w14:paraId="1E78087B" w14:textId="77777777" w:rsidR="008A5A85" w:rsidRDefault="008A5A85">
      <w:pPr>
        <w:spacing w:before="0" w:after="0" w:line="240" w:lineRule="auto"/>
        <w:jc w:val="left"/>
      </w:pPr>
    </w:p>
    <w:p w14:paraId="4202C3B3" w14:textId="77777777" w:rsidR="008A5A85" w:rsidRDefault="008A5A85">
      <w:pPr>
        <w:spacing w:before="0" w:after="0" w:line="240" w:lineRule="auto"/>
        <w:jc w:val="left"/>
      </w:pPr>
    </w:p>
    <w:p w14:paraId="6E1699FA" w14:textId="77777777" w:rsidR="008A5A85" w:rsidRDefault="008A5A85">
      <w:pPr>
        <w:spacing w:before="0" w:after="0" w:line="240" w:lineRule="auto"/>
        <w:jc w:val="left"/>
      </w:pPr>
    </w:p>
    <w:p w14:paraId="1CB03C17" w14:textId="77777777" w:rsidR="008A5A85" w:rsidRDefault="008A5A85">
      <w:pPr>
        <w:spacing w:before="0" w:after="0" w:line="240" w:lineRule="auto"/>
        <w:jc w:val="left"/>
      </w:pPr>
    </w:p>
    <w:p w14:paraId="266F2142" w14:textId="77777777" w:rsidR="008A5A85" w:rsidRDefault="008A5A85">
      <w:pPr>
        <w:spacing w:before="0" w:after="0" w:line="240" w:lineRule="auto"/>
        <w:jc w:val="left"/>
      </w:pPr>
    </w:p>
    <w:p w14:paraId="1FB18F1E" w14:textId="77777777" w:rsidR="008A5A85" w:rsidRDefault="008A5A85">
      <w:pPr>
        <w:spacing w:before="0" w:after="0" w:line="240" w:lineRule="auto"/>
        <w:jc w:val="left"/>
      </w:pPr>
    </w:p>
    <w:p w14:paraId="04CCDEC7" w14:textId="77777777" w:rsidR="008A5A85" w:rsidRDefault="008A5A85">
      <w:pPr>
        <w:spacing w:before="0" w:after="0" w:line="240" w:lineRule="auto"/>
        <w:jc w:val="left"/>
      </w:pPr>
    </w:p>
    <w:p w14:paraId="37D0F272" w14:textId="77777777" w:rsidR="008A5A85" w:rsidRDefault="008A5A85">
      <w:pPr>
        <w:spacing w:before="0" w:after="0" w:line="240" w:lineRule="auto"/>
        <w:jc w:val="left"/>
      </w:pPr>
    </w:p>
    <w:p w14:paraId="6D5A7A6A" w14:textId="77777777" w:rsidR="008A5A85" w:rsidRDefault="008A5A85">
      <w:pPr>
        <w:spacing w:before="0" w:after="0" w:line="240" w:lineRule="auto"/>
        <w:jc w:val="left"/>
      </w:pPr>
    </w:p>
    <w:p w14:paraId="5A65FA79" w14:textId="77777777" w:rsidR="008A5A85" w:rsidRDefault="008A5A85">
      <w:pPr>
        <w:spacing w:before="0" w:after="0" w:line="240" w:lineRule="auto"/>
        <w:jc w:val="left"/>
      </w:pPr>
    </w:p>
    <w:p w14:paraId="727CDC49" w14:textId="77777777" w:rsidR="008A5A85" w:rsidRDefault="008A5A85">
      <w:pPr>
        <w:spacing w:before="0" w:after="0" w:line="240" w:lineRule="auto"/>
        <w:jc w:val="left"/>
      </w:pPr>
    </w:p>
    <w:p w14:paraId="4BA22645" w14:textId="77777777" w:rsidR="008A5A85" w:rsidRDefault="008A5A85">
      <w:pPr>
        <w:spacing w:before="0" w:after="0" w:line="240" w:lineRule="auto"/>
        <w:jc w:val="left"/>
      </w:pPr>
    </w:p>
    <w:p w14:paraId="70922892" w14:textId="77777777" w:rsidR="008A5A85" w:rsidRDefault="008A5A85">
      <w:pPr>
        <w:spacing w:before="0" w:after="0" w:line="240" w:lineRule="auto"/>
        <w:jc w:val="left"/>
      </w:pPr>
    </w:p>
    <w:p w14:paraId="1FD534C5" w14:textId="77777777" w:rsidR="008A5A85" w:rsidRDefault="008A5A85">
      <w:pPr>
        <w:spacing w:before="0" w:after="0" w:line="240" w:lineRule="auto"/>
        <w:jc w:val="left"/>
      </w:pPr>
    </w:p>
    <w:p w14:paraId="1C1CF6A5" w14:textId="77777777" w:rsidR="008A5A85" w:rsidRDefault="008A5A85">
      <w:pPr>
        <w:spacing w:before="0" w:after="0" w:line="240" w:lineRule="auto"/>
        <w:jc w:val="left"/>
      </w:pPr>
    </w:p>
    <w:p w14:paraId="050FB18E" w14:textId="77777777" w:rsidR="008A5A85" w:rsidRDefault="008A5A85">
      <w:pPr>
        <w:spacing w:before="0" w:after="0" w:line="240" w:lineRule="auto"/>
        <w:jc w:val="left"/>
      </w:pPr>
    </w:p>
    <w:p w14:paraId="5856853D" w14:textId="77777777" w:rsidR="008A5A85" w:rsidRDefault="008A5A85">
      <w:pPr>
        <w:spacing w:before="0" w:after="0" w:line="240" w:lineRule="auto"/>
        <w:jc w:val="left"/>
      </w:pPr>
    </w:p>
    <w:p w14:paraId="6D7BF5A3" w14:textId="77777777" w:rsidR="008A5A85" w:rsidRDefault="008A5A85">
      <w:pPr>
        <w:spacing w:before="0" w:after="0" w:line="240" w:lineRule="auto"/>
        <w:jc w:val="left"/>
      </w:pPr>
    </w:p>
    <w:p w14:paraId="53F18AD8" w14:textId="77777777" w:rsidR="008A5A85" w:rsidRDefault="008A5A85">
      <w:pPr>
        <w:spacing w:before="0" w:after="0" w:line="240" w:lineRule="auto"/>
        <w:jc w:val="left"/>
      </w:pPr>
    </w:p>
    <w:p w14:paraId="43C8C58B" w14:textId="317233BD" w:rsidR="008A5A85" w:rsidRDefault="008A5A85">
      <w:pPr>
        <w:spacing w:before="0" w:after="0" w:line="240" w:lineRule="auto"/>
        <w:jc w:val="left"/>
      </w:pPr>
      <w:r>
        <w:t>Národná diaľničná spoločnosť, a s.</w:t>
      </w:r>
    </w:p>
    <w:p w14:paraId="05379EAC" w14:textId="3F2BDDD3" w:rsidR="008A5A85" w:rsidRDefault="008A5A85">
      <w:pPr>
        <w:spacing w:before="0" w:after="0" w:line="240" w:lineRule="auto"/>
        <w:jc w:val="left"/>
      </w:pPr>
      <w:r>
        <w:t>Vydanie:</w:t>
      </w:r>
      <w:r>
        <w:tab/>
      </w:r>
      <w:r w:rsidR="00FD60B7">
        <w:t>XI</w:t>
      </w:r>
      <w:r>
        <w:t>/2021</w:t>
      </w:r>
    </w:p>
    <w:p w14:paraId="7872B7B9" w14:textId="10E9C697" w:rsidR="008A5A85" w:rsidRDefault="008A5A85">
      <w:pPr>
        <w:spacing w:before="0" w:after="0" w:line="240" w:lineRule="auto"/>
        <w:jc w:val="left"/>
      </w:pPr>
      <w:r>
        <w:t>Verzia:</w:t>
      </w:r>
      <w:r>
        <w:tab/>
      </w:r>
      <w:r w:rsidR="001F0B77">
        <w:t>3</w:t>
      </w:r>
      <w:r w:rsidR="00EF1CB7">
        <w:t>.</w:t>
      </w:r>
      <w:r w:rsidR="00FD60B7">
        <w:t>1</w:t>
      </w:r>
    </w:p>
    <w:p w14:paraId="1F7629F4" w14:textId="737447A6" w:rsidR="008A5A85" w:rsidRDefault="008A5A85">
      <w:pPr>
        <w:spacing w:before="0" w:after="0" w:line="240" w:lineRule="auto"/>
        <w:jc w:val="left"/>
      </w:pPr>
      <w:r>
        <w:t>Stav:</w:t>
      </w:r>
      <w:r>
        <w:tab/>
      </w:r>
      <w:r w:rsidR="00FD60B7">
        <w:t xml:space="preserve">Aktualizované </w:t>
      </w:r>
      <w:r w:rsidR="001F0B77">
        <w:t>vydanie</w:t>
      </w:r>
    </w:p>
    <w:p w14:paraId="6CED7A2F" w14:textId="77777777" w:rsidR="008A5A85" w:rsidRDefault="008A5A85">
      <w:pPr>
        <w:spacing w:before="0" w:after="0" w:line="240" w:lineRule="auto"/>
        <w:jc w:val="left"/>
      </w:pPr>
    </w:p>
    <w:p w14:paraId="1B9F7CBB" w14:textId="167DA346" w:rsidR="008A5A85" w:rsidRDefault="008A5A85">
      <w:pPr>
        <w:spacing w:before="0" w:after="0" w:line="240" w:lineRule="auto"/>
        <w:jc w:val="left"/>
      </w:pPr>
      <w:r>
        <w:br w:type="page"/>
      </w:r>
    </w:p>
    <w:p w14:paraId="3A291520" w14:textId="4BC9E693" w:rsidR="00D52E50" w:rsidRPr="00CA4505" w:rsidRDefault="002D14A0" w:rsidP="008C3902">
      <w:r w:rsidRPr="00CA4505">
        <w:lastRenderedPageBreak/>
        <w:t xml:space="preserve"> </w:t>
      </w:r>
    </w:p>
    <w:sdt>
      <w:sdtPr>
        <w:rPr>
          <w:rFonts w:ascii="Arial" w:eastAsia="Times New Roman" w:hAnsi="Arial" w:cs="Times New Roman"/>
          <w:color w:val="auto"/>
          <w:sz w:val="20"/>
          <w:szCs w:val="24"/>
          <w:lang w:val="sk-SK" w:eastAsia="sk-SK"/>
        </w:rPr>
        <w:id w:val="-40600784"/>
        <w:docPartObj>
          <w:docPartGallery w:val="Table of Contents"/>
          <w:docPartUnique/>
        </w:docPartObj>
      </w:sdtPr>
      <w:sdtEndPr>
        <w:rPr>
          <w:b/>
          <w:bCs/>
          <w:lang w:eastAsia="cs-CZ"/>
        </w:rPr>
      </w:sdtEndPr>
      <w:sdtContent>
        <w:p w14:paraId="3D075A52" w14:textId="1491273D" w:rsidR="00EC0530" w:rsidRPr="00CA4505" w:rsidRDefault="00EC0530">
          <w:pPr>
            <w:pStyle w:val="TOCHeading"/>
            <w:rPr>
              <w:lang w:val="sk-SK"/>
            </w:rPr>
          </w:pPr>
          <w:r w:rsidRPr="00CA4505">
            <w:rPr>
              <w:lang w:val="sk-SK"/>
            </w:rPr>
            <w:t>Obsah</w:t>
          </w:r>
        </w:p>
        <w:bookmarkStart w:id="0" w:name="_GoBack"/>
        <w:bookmarkEnd w:id="0"/>
        <w:p w14:paraId="53D3884B" w14:textId="79256D63" w:rsidR="00250081" w:rsidRDefault="00EC0530">
          <w:pPr>
            <w:pStyle w:val="TOC1"/>
            <w:tabs>
              <w:tab w:val="left" w:pos="400"/>
              <w:tab w:val="right" w:leader="dot" w:pos="9174"/>
            </w:tabs>
            <w:rPr>
              <w:rFonts w:asciiTheme="minorHAnsi" w:eastAsiaTheme="minorEastAsia" w:hAnsiTheme="minorHAnsi" w:cstheme="minorBidi"/>
              <w:noProof/>
              <w:sz w:val="22"/>
              <w:szCs w:val="22"/>
              <w:lang w:val="cs-CZ"/>
            </w:rPr>
          </w:pPr>
          <w:r w:rsidRPr="00CA4505">
            <w:fldChar w:fldCharType="begin"/>
          </w:r>
          <w:r w:rsidRPr="00CA4505">
            <w:instrText xml:space="preserve"> TOC \o "1-3" \h \z \u </w:instrText>
          </w:r>
          <w:r w:rsidRPr="00CA4505">
            <w:fldChar w:fldCharType="separate"/>
          </w:r>
          <w:hyperlink w:anchor="_Toc87348684" w:history="1">
            <w:r w:rsidR="00250081" w:rsidRPr="009E36F7">
              <w:rPr>
                <w:rStyle w:val="Hyperlink"/>
                <w:noProof/>
              </w:rPr>
              <w:t>1</w:t>
            </w:r>
            <w:r w:rsidR="00250081">
              <w:rPr>
                <w:rFonts w:asciiTheme="minorHAnsi" w:eastAsiaTheme="minorEastAsia" w:hAnsiTheme="minorHAnsi" w:cstheme="minorBidi"/>
                <w:noProof/>
                <w:sz w:val="22"/>
                <w:szCs w:val="22"/>
                <w:lang w:val="cs-CZ"/>
              </w:rPr>
              <w:tab/>
            </w:r>
            <w:r w:rsidR="00250081" w:rsidRPr="009E36F7">
              <w:rPr>
                <w:rStyle w:val="Hyperlink"/>
                <w:noProof/>
              </w:rPr>
              <w:t>Manažérske zhrnutie</w:t>
            </w:r>
            <w:r w:rsidR="00250081">
              <w:rPr>
                <w:noProof/>
                <w:webHidden/>
              </w:rPr>
              <w:tab/>
            </w:r>
            <w:r w:rsidR="00250081">
              <w:rPr>
                <w:noProof/>
                <w:webHidden/>
              </w:rPr>
              <w:fldChar w:fldCharType="begin"/>
            </w:r>
            <w:r w:rsidR="00250081">
              <w:rPr>
                <w:noProof/>
                <w:webHidden/>
              </w:rPr>
              <w:instrText xml:space="preserve"> PAGEREF _Toc87348684 \h </w:instrText>
            </w:r>
            <w:r w:rsidR="00250081">
              <w:rPr>
                <w:noProof/>
                <w:webHidden/>
              </w:rPr>
            </w:r>
            <w:r w:rsidR="00250081">
              <w:rPr>
                <w:noProof/>
                <w:webHidden/>
              </w:rPr>
              <w:fldChar w:fldCharType="separate"/>
            </w:r>
            <w:r w:rsidR="00C32F51">
              <w:rPr>
                <w:noProof/>
                <w:webHidden/>
              </w:rPr>
              <w:t>5</w:t>
            </w:r>
            <w:r w:rsidR="00250081">
              <w:rPr>
                <w:noProof/>
                <w:webHidden/>
              </w:rPr>
              <w:fldChar w:fldCharType="end"/>
            </w:r>
          </w:hyperlink>
        </w:p>
        <w:p w14:paraId="7520848D" w14:textId="279084A6"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685" w:history="1">
            <w:r w:rsidRPr="009E36F7">
              <w:rPr>
                <w:rStyle w:val="Hyperlink"/>
                <w:noProof/>
              </w:rPr>
              <w:t>2</w:t>
            </w:r>
            <w:r>
              <w:rPr>
                <w:rFonts w:asciiTheme="minorHAnsi" w:eastAsiaTheme="minorEastAsia" w:hAnsiTheme="minorHAnsi" w:cstheme="minorBidi"/>
                <w:noProof/>
                <w:sz w:val="22"/>
                <w:szCs w:val="22"/>
                <w:lang w:val="cs-CZ"/>
              </w:rPr>
              <w:tab/>
            </w:r>
            <w:r w:rsidRPr="009E36F7">
              <w:rPr>
                <w:rStyle w:val="Hyperlink"/>
                <w:noProof/>
              </w:rPr>
              <w:t>Základné informácie</w:t>
            </w:r>
            <w:r>
              <w:rPr>
                <w:noProof/>
                <w:webHidden/>
              </w:rPr>
              <w:tab/>
            </w:r>
            <w:r>
              <w:rPr>
                <w:noProof/>
                <w:webHidden/>
              </w:rPr>
              <w:fldChar w:fldCharType="begin"/>
            </w:r>
            <w:r>
              <w:rPr>
                <w:noProof/>
                <w:webHidden/>
              </w:rPr>
              <w:instrText xml:space="preserve"> PAGEREF _Toc87348685 \h </w:instrText>
            </w:r>
            <w:r>
              <w:rPr>
                <w:noProof/>
                <w:webHidden/>
              </w:rPr>
            </w:r>
            <w:r>
              <w:rPr>
                <w:noProof/>
                <w:webHidden/>
              </w:rPr>
              <w:fldChar w:fldCharType="separate"/>
            </w:r>
            <w:r w:rsidR="00C32F51">
              <w:rPr>
                <w:noProof/>
                <w:webHidden/>
              </w:rPr>
              <w:t>8</w:t>
            </w:r>
            <w:r>
              <w:rPr>
                <w:noProof/>
                <w:webHidden/>
              </w:rPr>
              <w:fldChar w:fldCharType="end"/>
            </w:r>
          </w:hyperlink>
        </w:p>
        <w:p w14:paraId="7B8A1738" w14:textId="4ECD38EF"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686" w:history="1">
            <w:r w:rsidRPr="009E36F7">
              <w:rPr>
                <w:rStyle w:val="Hyperlink"/>
                <w:noProof/>
              </w:rPr>
              <w:t>2.1</w:t>
            </w:r>
            <w:r>
              <w:rPr>
                <w:rFonts w:asciiTheme="minorHAnsi" w:eastAsiaTheme="minorEastAsia" w:hAnsiTheme="minorHAnsi" w:cstheme="minorBidi"/>
                <w:noProof/>
                <w:sz w:val="22"/>
                <w:szCs w:val="22"/>
                <w:lang w:val="cs-CZ"/>
              </w:rPr>
              <w:tab/>
            </w:r>
            <w:r w:rsidRPr="009E36F7">
              <w:rPr>
                <w:rStyle w:val="Hyperlink"/>
                <w:noProof/>
              </w:rPr>
              <w:t>Prehľad</w:t>
            </w:r>
            <w:r>
              <w:rPr>
                <w:noProof/>
                <w:webHidden/>
              </w:rPr>
              <w:tab/>
            </w:r>
            <w:r>
              <w:rPr>
                <w:noProof/>
                <w:webHidden/>
              </w:rPr>
              <w:fldChar w:fldCharType="begin"/>
            </w:r>
            <w:r>
              <w:rPr>
                <w:noProof/>
                <w:webHidden/>
              </w:rPr>
              <w:instrText xml:space="preserve"> PAGEREF _Toc87348686 \h </w:instrText>
            </w:r>
            <w:r>
              <w:rPr>
                <w:noProof/>
                <w:webHidden/>
              </w:rPr>
            </w:r>
            <w:r>
              <w:rPr>
                <w:noProof/>
                <w:webHidden/>
              </w:rPr>
              <w:fldChar w:fldCharType="separate"/>
            </w:r>
            <w:r w:rsidR="00C32F51">
              <w:rPr>
                <w:noProof/>
                <w:webHidden/>
              </w:rPr>
              <w:t>8</w:t>
            </w:r>
            <w:r>
              <w:rPr>
                <w:noProof/>
                <w:webHidden/>
              </w:rPr>
              <w:fldChar w:fldCharType="end"/>
            </w:r>
          </w:hyperlink>
        </w:p>
        <w:p w14:paraId="7BA9C53D" w14:textId="5D865111"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687" w:history="1">
            <w:r w:rsidRPr="009E36F7">
              <w:rPr>
                <w:rStyle w:val="Hyperlink"/>
                <w:noProof/>
              </w:rPr>
              <w:t>2.2</w:t>
            </w:r>
            <w:r>
              <w:rPr>
                <w:rFonts w:asciiTheme="minorHAnsi" w:eastAsiaTheme="minorEastAsia" w:hAnsiTheme="minorHAnsi" w:cstheme="minorBidi"/>
                <w:noProof/>
                <w:sz w:val="22"/>
                <w:szCs w:val="22"/>
                <w:lang w:val="cs-CZ"/>
              </w:rPr>
              <w:tab/>
            </w:r>
            <w:r w:rsidRPr="009E36F7">
              <w:rPr>
                <w:rStyle w:val="Hyperlink"/>
                <w:noProof/>
              </w:rPr>
              <w:t>Dôvod</w:t>
            </w:r>
            <w:r>
              <w:rPr>
                <w:noProof/>
                <w:webHidden/>
              </w:rPr>
              <w:tab/>
            </w:r>
            <w:r>
              <w:rPr>
                <w:noProof/>
                <w:webHidden/>
              </w:rPr>
              <w:fldChar w:fldCharType="begin"/>
            </w:r>
            <w:r>
              <w:rPr>
                <w:noProof/>
                <w:webHidden/>
              </w:rPr>
              <w:instrText xml:space="preserve"> PAGEREF _Toc87348687 \h </w:instrText>
            </w:r>
            <w:r>
              <w:rPr>
                <w:noProof/>
                <w:webHidden/>
              </w:rPr>
            </w:r>
            <w:r>
              <w:rPr>
                <w:noProof/>
                <w:webHidden/>
              </w:rPr>
              <w:fldChar w:fldCharType="separate"/>
            </w:r>
            <w:r w:rsidR="00C32F51">
              <w:rPr>
                <w:noProof/>
                <w:webHidden/>
              </w:rPr>
              <w:t>9</w:t>
            </w:r>
            <w:r>
              <w:rPr>
                <w:noProof/>
                <w:webHidden/>
              </w:rPr>
              <w:fldChar w:fldCharType="end"/>
            </w:r>
          </w:hyperlink>
        </w:p>
        <w:p w14:paraId="3B00A5C7" w14:textId="43D1E6AC"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88" w:history="1">
            <w:r w:rsidRPr="009E36F7">
              <w:rPr>
                <w:rStyle w:val="Hyperlink"/>
                <w:noProof/>
              </w:rPr>
              <w:t>2.2.1</w:t>
            </w:r>
            <w:r>
              <w:rPr>
                <w:rFonts w:asciiTheme="minorHAnsi" w:eastAsiaTheme="minorEastAsia" w:hAnsiTheme="minorHAnsi" w:cstheme="minorBidi"/>
                <w:noProof/>
                <w:sz w:val="22"/>
                <w:szCs w:val="22"/>
                <w:lang w:val="cs-CZ"/>
              </w:rPr>
              <w:tab/>
            </w:r>
            <w:r w:rsidRPr="009E36F7">
              <w:rPr>
                <w:rStyle w:val="Hyperlink"/>
                <w:noProof/>
              </w:rPr>
              <w:t>Dôvody realizácie EETS</w:t>
            </w:r>
            <w:r>
              <w:rPr>
                <w:noProof/>
                <w:webHidden/>
              </w:rPr>
              <w:tab/>
            </w:r>
            <w:r>
              <w:rPr>
                <w:noProof/>
                <w:webHidden/>
              </w:rPr>
              <w:fldChar w:fldCharType="begin"/>
            </w:r>
            <w:r>
              <w:rPr>
                <w:noProof/>
                <w:webHidden/>
              </w:rPr>
              <w:instrText xml:space="preserve"> PAGEREF _Toc87348688 \h </w:instrText>
            </w:r>
            <w:r>
              <w:rPr>
                <w:noProof/>
                <w:webHidden/>
              </w:rPr>
            </w:r>
            <w:r>
              <w:rPr>
                <w:noProof/>
                <w:webHidden/>
              </w:rPr>
              <w:fldChar w:fldCharType="separate"/>
            </w:r>
            <w:r w:rsidR="00C32F51">
              <w:rPr>
                <w:noProof/>
                <w:webHidden/>
              </w:rPr>
              <w:t>9</w:t>
            </w:r>
            <w:r>
              <w:rPr>
                <w:noProof/>
                <w:webHidden/>
              </w:rPr>
              <w:fldChar w:fldCharType="end"/>
            </w:r>
          </w:hyperlink>
        </w:p>
        <w:p w14:paraId="22E49D6F" w14:textId="03E1BED0"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89" w:history="1">
            <w:r w:rsidRPr="009E36F7">
              <w:rPr>
                <w:rStyle w:val="Hyperlink"/>
                <w:noProof/>
              </w:rPr>
              <w:t>2.2.2</w:t>
            </w:r>
            <w:r>
              <w:rPr>
                <w:rFonts w:asciiTheme="minorHAnsi" w:eastAsiaTheme="minorEastAsia" w:hAnsiTheme="minorHAnsi" w:cstheme="minorBidi"/>
                <w:noProof/>
                <w:sz w:val="22"/>
                <w:szCs w:val="22"/>
                <w:lang w:val="cs-CZ"/>
              </w:rPr>
              <w:tab/>
            </w:r>
            <w:r w:rsidRPr="009E36F7">
              <w:rPr>
                <w:rStyle w:val="Hyperlink"/>
                <w:noProof/>
              </w:rPr>
              <w:t>Dôvody realizácie EETS pre Správcu výberu mýta</w:t>
            </w:r>
            <w:r>
              <w:rPr>
                <w:noProof/>
                <w:webHidden/>
              </w:rPr>
              <w:tab/>
            </w:r>
            <w:r>
              <w:rPr>
                <w:noProof/>
                <w:webHidden/>
              </w:rPr>
              <w:fldChar w:fldCharType="begin"/>
            </w:r>
            <w:r>
              <w:rPr>
                <w:noProof/>
                <w:webHidden/>
              </w:rPr>
              <w:instrText xml:space="preserve"> PAGEREF _Toc87348689 \h </w:instrText>
            </w:r>
            <w:r>
              <w:rPr>
                <w:noProof/>
                <w:webHidden/>
              </w:rPr>
            </w:r>
            <w:r>
              <w:rPr>
                <w:noProof/>
                <w:webHidden/>
              </w:rPr>
              <w:fldChar w:fldCharType="separate"/>
            </w:r>
            <w:r w:rsidR="00C32F51">
              <w:rPr>
                <w:noProof/>
                <w:webHidden/>
              </w:rPr>
              <w:t>9</w:t>
            </w:r>
            <w:r>
              <w:rPr>
                <w:noProof/>
                <w:webHidden/>
              </w:rPr>
              <w:fldChar w:fldCharType="end"/>
            </w:r>
          </w:hyperlink>
        </w:p>
        <w:p w14:paraId="37787282" w14:textId="73661045"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0" w:history="1">
            <w:r w:rsidRPr="009E36F7">
              <w:rPr>
                <w:rStyle w:val="Hyperlink"/>
                <w:noProof/>
              </w:rPr>
              <w:t>2.2.3</w:t>
            </w:r>
            <w:r>
              <w:rPr>
                <w:rFonts w:asciiTheme="minorHAnsi" w:eastAsiaTheme="minorEastAsia" w:hAnsiTheme="minorHAnsi" w:cstheme="minorBidi"/>
                <w:noProof/>
                <w:sz w:val="22"/>
                <w:szCs w:val="22"/>
                <w:lang w:val="cs-CZ"/>
              </w:rPr>
              <w:tab/>
            </w:r>
            <w:r w:rsidRPr="009E36F7">
              <w:rPr>
                <w:rStyle w:val="Hyperlink"/>
                <w:noProof/>
              </w:rPr>
              <w:t>Dôvody realizácie EETS pre poskytovateľov EETS</w:t>
            </w:r>
            <w:r>
              <w:rPr>
                <w:noProof/>
                <w:webHidden/>
              </w:rPr>
              <w:tab/>
            </w:r>
            <w:r>
              <w:rPr>
                <w:noProof/>
                <w:webHidden/>
              </w:rPr>
              <w:fldChar w:fldCharType="begin"/>
            </w:r>
            <w:r>
              <w:rPr>
                <w:noProof/>
                <w:webHidden/>
              </w:rPr>
              <w:instrText xml:space="preserve"> PAGEREF _Toc87348690 \h </w:instrText>
            </w:r>
            <w:r>
              <w:rPr>
                <w:noProof/>
                <w:webHidden/>
              </w:rPr>
            </w:r>
            <w:r>
              <w:rPr>
                <w:noProof/>
                <w:webHidden/>
              </w:rPr>
              <w:fldChar w:fldCharType="separate"/>
            </w:r>
            <w:r w:rsidR="00C32F51">
              <w:rPr>
                <w:noProof/>
                <w:webHidden/>
              </w:rPr>
              <w:t>9</w:t>
            </w:r>
            <w:r>
              <w:rPr>
                <w:noProof/>
                <w:webHidden/>
              </w:rPr>
              <w:fldChar w:fldCharType="end"/>
            </w:r>
          </w:hyperlink>
        </w:p>
        <w:p w14:paraId="22CDAE22" w14:textId="4C12AEF9"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1" w:history="1">
            <w:r w:rsidRPr="009E36F7">
              <w:rPr>
                <w:rStyle w:val="Hyperlink"/>
                <w:noProof/>
              </w:rPr>
              <w:t>2.2.4</w:t>
            </w:r>
            <w:r>
              <w:rPr>
                <w:rFonts w:asciiTheme="minorHAnsi" w:eastAsiaTheme="minorEastAsia" w:hAnsiTheme="minorHAnsi" w:cstheme="minorBidi"/>
                <w:noProof/>
                <w:sz w:val="22"/>
                <w:szCs w:val="22"/>
                <w:lang w:val="cs-CZ"/>
              </w:rPr>
              <w:tab/>
            </w:r>
            <w:r w:rsidRPr="009E36F7">
              <w:rPr>
                <w:rStyle w:val="Hyperlink"/>
                <w:noProof/>
              </w:rPr>
              <w:t>Dôvody Implementácie EETS do komplexnej služby elektronického výberu mýta</w:t>
            </w:r>
            <w:r>
              <w:rPr>
                <w:noProof/>
                <w:webHidden/>
              </w:rPr>
              <w:tab/>
            </w:r>
            <w:r>
              <w:rPr>
                <w:noProof/>
                <w:webHidden/>
              </w:rPr>
              <w:fldChar w:fldCharType="begin"/>
            </w:r>
            <w:r>
              <w:rPr>
                <w:noProof/>
                <w:webHidden/>
              </w:rPr>
              <w:instrText xml:space="preserve"> PAGEREF _Toc87348691 \h </w:instrText>
            </w:r>
            <w:r>
              <w:rPr>
                <w:noProof/>
                <w:webHidden/>
              </w:rPr>
            </w:r>
            <w:r>
              <w:rPr>
                <w:noProof/>
                <w:webHidden/>
              </w:rPr>
              <w:fldChar w:fldCharType="separate"/>
            </w:r>
            <w:r w:rsidR="00C32F51">
              <w:rPr>
                <w:noProof/>
                <w:webHidden/>
              </w:rPr>
              <w:t>9</w:t>
            </w:r>
            <w:r>
              <w:rPr>
                <w:noProof/>
                <w:webHidden/>
              </w:rPr>
              <w:fldChar w:fldCharType="end"/>
            </w:r>
          </w:hyperlink>
        </w:p>
        <w:p w14:paraId="479E1E13" w14:textId="441E8742"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2" w:history="1">
            <w:r w:rsidRPr="009E36F7">
              <w:rPr>
                <w:rStyle w:val="Hyperlink"/>
                <w:noProof/>
              </w:rPr>
              <w:t>2.2.5</w:t>
            </w:r>
            <w:r>
              <w:rPr>
                <w:rFonts w:asciiTheme="minorHAnsi" w:eastAsiaTheme="minorEastAsia" w:hAnsiTheme="minorHAnsi" w:cstheme="minorBidi"/>
                <w:noProof/>
                <w:sz w:val="22"/>
                <w:szCs w:val="22"/>
                <w:lang w:val="cs-CZ"/>
              </w:rPr>
              <w:tab/>
            </w:r>
            <w:r w:rsidRPr="009E36F7">
              <w:rPr>
                <w:rStyle w:val="Hyperlink"/>
                <w:noProof/>
              </w:rPr>
              <w:t>Dôvody Implementácie EETS pre prevádzkovateľov vozidiel</w:t>
            </w:r>
            <w:r>
              <w:rPr>
                <w:noProof/>
                <w:webHidden/>
              </w:rPr>
              <w:tab/>
            </w:r>
            <w:r>
              <w:rPr>
                <w:noProof/>
                <w:webHidden/>
              </w:rPr>
              <w:fldChar w:fldCharType="begin"/>
            </w:r>
            <w:r>
              <w:rPr>
                <w:noProof/>
                <w:webHidden/>
              </w:rPr>
              <w:instrText xml:space="preserve"> PAGEREF _Toc87348692 \h </w:instrText>
            </w:r>
            <w:r>
              <w:rPr>
                <w:noProof/>
                <w:webHidden/>
              </w:rPr>
            </w:r>
            <w:r>
              <w:rPr>
                <w:noProof/>
                <w:webHidden/>
              </w:rPr>
              <w:fldChar w:fldCharType="separate"/>
            </w:r>
            <w:r w:rsidR="00C32F51">
              <w:rPr>
                <w:noProof/>
                <w:webHidden/>
              </w:rPr>
              <w:t>10</w:t>
            </w:r>
            <w:r>
              <w:rPr>
                <w:noProof/>
                <w:webHidden/>
              </w:rPr>
              <w:fldChar w:fldCharType="end"/>
            </w:r>
          </w:hyperlink>
        </w:p>
        <w:p w14:paraId="17F4A2EF" w14:textId="10A9F0E7"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3" w:history="1">
            <w:r w:rsidRPr="009E36F7">
              <w:rPr>
                <w:rStyle w:val="Hyperlink"/>
                <w:noProof/>
              </w:rPr>
              <w:t>2.2.6</w:t>
            </w:r>
            <w:r>
              <w:rPr>
                <w:rFonts w:asciiTheme="minorHAnsi" w:eastAsiaTheme="minorEastAsia" w:hAnsiTheme="minorHAnsi" w:cstheme="minorBidi"/>
                <w:noProof/>
                <w:sz w:val="22"/>
                <w:szCs w:val="22"/>
                <w:lang w:val="cs-CZ"/>
              </w:rPr>
              <w:tab/>
            </w:r>
            <w:r w:rsidRPr="009E36F7">
              <w:rPr>
                <w:rStyle w:val="Hyperlink"/>
                <w:noProof/>
              </w:rPr>
              <w:t>Negatívny stav v prípade, ak projekt nebude realizovaný</w:t>
            </w:r>
            <w:r>
              <w:rPr>
                <w:noProof/>
                <w:webHidden/>
              </w:rPr>
              <w:tab/>
            </w:r>
            <w:r>
              <w:rPr>
                <w:noProof/>
                <w:webHidden/>
              </w:rPr>
              <w:fldChar w:fldCharType="begin"/>
            </w:r>
            <w:r>
              <w:rPr>
                <w:noProof/>
                <w:webHidden/>
              </w:rPr>
              <w:instrText xml:space="preserve"> PAGEREF _Toc87348693 \h </w:instrText>
            </w:r>
            <w:r>
              <w:rPr>
                <w:noProof/>
                <w:webHidden/>
              </w:rPr>
            </w:r>
            <w:r>
              <w:rPr>
                <w:noProof/>
                <w:webHidden/>
              </w:rPr>
              <w:fldChar w:fldCharType="separate"/>
            </w:r>
            <w:r w:rsidR="00C32F51">
              <w:rPr>
                <w:noProof/>
                <w:webHidden/>
              </w:rPr>
              <w:t>10</w:t>
            </w:r>
            <w:r>
              <w:rPr>
                <w:noProof/>
                <w:webHidden/>
              </w:rPr>
              <w:fldChar w:fldCharType="end"/>
            </w:r>
          </w:hyperlink>
        </w:p>
        <w:p w14:paraId="1F1B711C" w14:textId="1F31975F"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694" w:history="1">
            <w:r w:rsidRPr="009E36F7">
              <w:rPr>
                <w:rStyle w:val="Hyperlink"/>
                <w:noProof/>
              </w:rPr>
              <w:t>2.3</w:t>
            </w:r>
            <w:r>
              <w:rPr>
                <w:rFonts w:asciiTheme="minorHAnsi" w:eastAsiaTheme="minorEastAsia" w:hAnsiTheme="minorHAnsi" w:cstheme="minorBidi"/>
                <w:noProof/>
                <w:sz w:val="22"/>
                <w:szCs w:val="22"/>
                <w:lang w:val="cs-CZ"/>
              </w:rPr>
              <w:tab/>
            </w:r>
            <w:r w:rsidRPr="009E36F7">
              <w:rPr>
                <w:rStyle w:val="Hyperlink"/>
                <w:noProof/>
              </w:rPr>
              <w:t>Rozsah</w:t>
            </w:r>
            <w:r>
              <w:rPr>
                <w:noProof/>
                <w:webHidden/>
              </w:rPr>
              <w:tab/>
            </w:r>
            <w:r>
              <w:rPr>
                <w:noProof/>
                <w:webHidden/>
              </w:rPr>
              <w:fldChar w:fldCharType="begin"/>
            </w:r>
            <w:r>
              <w:rPr>
                <w:noProof/>
                <w:webHidden/>
              </w:rPr>
              <w:instrText xml:space="preserve"> PAGEREF _Toc87348694 \h </w:instrText>
            </w:r>
            <w:r>
              <w:rPr>
                <w:noProof/>
                <w:webHidden/>
              </w:rPr>
            </w:r>
            <w:r>
              <w:rPr>
                <w:noProof/>
                <w:webHidden/>
              </w:rPr>
              <w:fldChar w:fldCharType="separate"/>
            </w:r>
            <w:r w:rsidR="00C32F51">
              <w:rPr>
                <w:noProof/>
                <w:webHidden/>
              </w:rPr>
              <w:t>10</w:t>
            </w:r>
            <w:r>
              <w:rPr>
                <w:noProof/>
                <w:webHidden/>
              </w:rPr>
              <w:fldChar w:fldCharType="end"/>
            </w:r>
          </w:hyperlink>
        </w:p>
        <w:p w14:paraId="7ACF012E" w14:textId="3927A354"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5" w:history="1">
            <w:r w:rsidRPr="009E36F7">
              <w:rPr>
                <w:rStyle w:val="Hyperlink"/>
                <w:noProof/>
              </w:rPr>
              <w:t>2.3.1</w:t>
            </w:r>
            <w:r>
              <w:rPr>
                <w:rFonts w:asciiTheme="minorHAnsi" w:eastAsiaTheme="minorEastAsia" w:hAnsiTheme="minorHAnsi" w:cstheme="minorBidi"/>
                <w:noProof/>
                <w:sz w:val="22"/>
                <w:szCs w:val="22"/>
                <w:lang w:val="cs-CZ"/>
              </w:rPr>
              <w:tab/>
            </w:r>
            <w:r w:rsidRPr="009E36F7">
              <w:rPr>
                <w:rStyle w:val="Hyperlink"/>
                <w:noProof/>
              </w:rPr>
              <w:t>Vymedzenie subjektov, ktorých sa navrhované riešenie týka</w:t>
            </w:r>
            <w:r>
              <w:rPr>
                <w:noProof/>
                <w:webHidden/>
              </w:rPr>
              <w:tab/>
            </w:r>
            <w:r>
              <w:rPr>
                <w:noProof/>
                <w:webHidden/>
              </w:rPr>
              <w:fldChar w:fldCharType="begin"/>
            </w:r>
            <w:r>
              <w:rPr>
                <w:noProof/>
                <w:webHidden/>
              </w:rPr>
              <w:instrText xml:space="preserve"> PAGEREF _Toc87348695 \h </w:instrText>
            </w:r>
            <w:r>
              <w:rPr>
                <w:noProof/>
                <w:webHidden/>
              </w:rPr>
            </w:r>
            <w:r>
              <w:rPr>
                <w:noProof/>
                <w:webHidden/>
              </w:rPr>
              <w:fldChar w:fldCharType="separate"/>
            </w:r>
            <w:r w:rsidR="00C32F51">
              <w:rPr>
                <w:noProof/>
                <w:webHidden/>
              </w:rPr>
              <w:t>10</w:t>
            </w:r>
            <w:r>
              <w:rPr>
                <w:noProof/>
                <w:webHidden/>
              </w:rPr>
              <w:fldChar w:fldCharType="end"/>
            </w:r>
          </w:hyperlink>
        </w:p>
        <w:p w14:paraId="726D42E2" w14:textId="7B7973B3"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6" w:history="1">
            <w:r w:rsidRPr="009E36F7">
              <w:rPr>
                <w:rStyle w:val="Hyperlink"/>
                <w:noProof/>
              </w:rPr>
              <w:t>2.3.2</w:t>
            </w:r>
            <w:r>
              <w:rPr>
                <w:rFonts w:asciiTheme="minorHAnsi" w:eastAsiaTheme="minorEastAsia" w:hAnsiTheme="minorHAnsi" w:cstheme="minorBidi"/>
                <w:noProof/>
                <w:sz w:val="22"/>
                <w:szCs w:val="22"/>
                <w:lang w:val="cs-CZ"/>
              </w:rPr>
              <w:tab/>
            </w:r>
            <w:r w:rsidRPr="009E36F7">
              <w:rPr>
                <w:rStyle w:val="Hyperlink"/>
                <w:noProof/>
              </w:rPr>
              <w:t>Územné ohraničenie</w:t>
            </w:r>
            <w:r>
              <w:rPr>
                <w:noProof/>
                <w:webHidden/>
              </w:rPr>
              <w:tab/>
            </w:r>
            <w:r>
              <w:rPr>
                <w:noProof/>
                <w:webHidden/>
              </w:rPr>
              <w:fldChar w:fldCharType="begin"/>
            </w:r>
            <w:r>
              <w:rPr>
                <w:noProof/>
                <w:webHidden/>
              </w:rPr>
              <w:instrText xml:space="preserve"> PAGEREF _Toc87348696 \h </w:instrText>
            </w:r>
            <w:r>
              <w:rPr>
                <w:noProof/>
                <w:webHidden/>
              </w:rPr>
            </w:r>
            <w:r>
              <w:rPr>
                <w:noProof/>
                <w:webHidden/>
              </w:rPr>
              <w:fldChar w:fldCharType="separate"/>
            </w:r>
            <w:r w:rsidR="00C32F51">
              <w:rPr>
                <w:noProof/>
                <w:webHidden/>
              </w:rPr>
              <w:t>10</w:t>
            </w:r>
            <w:r>
              <w:rPr>
                <w:noProof/>
                <w:webHidden/>
              </w:rPr>
              <w:fldChar w:fldCharType="end"/>
            </w:r>
          </w:hyperlink>
        </w:p>
        <w:p w14:paraId="64ABDDFF" w14:textId="4B1EBB62"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697" w:history="1">
            <w:r w:rsidRPr="009E36F7">
              <w:rPr>
                <w:rStyle w:val="Hyperlink"/>
                <w:noProof/>
              </w:rPr>
              <w:t>2.3.3</w:t>
            </w:r>
            <w:r>
              <w:rPr>
                <w:rFonts w:asciiTheme="minorHAnsi" w:eastAsiaTheme="minorEastAsia" w:hAnsiTheme="minorHAnsi" w:cstheme="minorBidi"/>
                <w:noProof/>
                <w:sz w:val="22"/>
                <w:szCs w:val="22"/>
                <w:lang w:val="cs-CZ"/>
              </w:rPr>
              <w:tab/>
            </w:r>
            <w:r w:rsidRPr="009E36F7">
              <w:rPr>
                <w:rStyle w:val="Hyperlink"/>
                <w:noProof/>
              </w:rPr>
              <w:t>Ohraničenie situácie</w:t>
            </w:r>
            <w:r>
              <w:rPr>
                <w:noProof/>
                <w:webHidden/>
              </w:rPr>
              <w:tab/>
            </w:r>
            <w:r>
              <w:rPr>
                <w:noProof/>
                <w:webHidden/>
              </w:rPr>
              <w:fldChar w:fldCharType="begin"/>
            </w:r>
            <w:r>
              <w:rPr>
                <w:noProof/>
                <w:webHidden/>
              </w:rPr>
              <w:instrText xml:space="preserve"> PAGEREF _Toc87348697 \h </w:instrText>
            </w:r>
            <w:r>
              <w:rPr>
                <w:noProof/>
                <w:webHidden/>
              </w:rPr>
            </w:r>
            <w:r>
              <w:rPr>
                <w:noProof/>
                <w:webHidden/>
              </w:rPr>
              <w:fldChar w:fldCharType="separate"/>
            </w:r>
            <w:r w:rsidR="00C32F51">
              <w:rPr>
                <w:noProof/>
                <w:webHidden/>
              </w:rPr>
              <w:t>11</w:t>
            </w:r>
            <w:r>
              <w:rPr>
                <w:noProof/>
                <w:webHidden/>
              </w:rPr>
              <w:fldChar w:fldCharType="end"/>
            </w:r>
          </w:hyperlink>
        </w:p>
        <w:p w14:paraId="30707041" w14:textId="3D4ABA34"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698" w:history="1">
            <w:r w:rsidRPr="009E36F7">
              <w:rPr>
                <w:rStyle w:val="Hyperlink"/>
                <w:noProof/>
              </w:rPr>
              <w:t>2.4</w:t>
            </w:r>
            <w:r>
              <w:rPr>
                <w:rFonts w:asciiTheme="minorHAnsi" w:eastAsiaTheme="minorEastAsia" w:hAnsiTheme="minorHAnsi" w:cstheme="minorBidi"/>
                <w:noProof/>
                <w:sz w:val="22"/>
                <w:szCs w:val="22"/>
                <w:lang w:val="cs-CZ"/>
              </w:rPr>
              <w:tab/>
            </w:r>
            <w:r w:rsidRPr="009E36F7">
              <w:rPr>
                <w:rStyle w:val="Hyperlink"/>
                <w:noProof/>
              </w:rPr>
              <w:t>Motivácia</w:t>
            </w:r>
            <w:r>
              <w:rPr>
                <w:noProof/>
                <w:webHidden/>
              </w:rPr>
              <w:tab/>
            </w:r>
            <w:r>
              <w:rPr>
                <w:noProof/>
                <w:webHidden/>
              </w:rPr>
              <w:fldChar w:fldCharType="begin"/>
            </w:r>
            <w:r>
              <w:rPr>
                <w:noProof/>
                <w:webHidden/>
              </w:rPr>
              <w:instrText xml:space="preserve"> PAGEREF _Toc87348698 \h </w:instrText>
            </w:r>
            <w:r>
              <w:rPr>
                <w:noProof/>
                <w:webHidden/>
              </w:rPr>
            </w:r>
            <w:r>
              <w:rPr>
                <w:noProof/>
                <w:webHidden/>
              </w:rPr>
              <w:fldChar w:fldCharType="separate"/>
            </w:r>
            <w:r w:rsidR="00C32F51">
              <w:rPr>
                <w:noProof/>
                <w:webHidden/>
              </w:rPr>
              <w:t>11</w:t>
            </w:r>
            <w:r>
              <w:rPr>
                <w:noProof/>
                <w:webHidden/>
              </w:rPr>
              <w:fldChar w:fldCharType="end"/>
            </w:r>
          </w:hyperlink>
        </w:p>
        <w:p w14:paraId="648F47AD" w14:textId="10ED8D68"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699" w:history="1">
            <w:r w:rsidRPr="009E36F7">
              <w:rPr>
                <w:rStyle w:val="Hyperlink"/>
                <w:noProof/>
              </w:rPr>
              <w:t>2.5</w:t>
            </w:r>
            <w:r>
              <w:rPr>
                <w:rFonts w:asciiTheme="minorHAnsi" w:eastAsiaTheme="minorEastAsia" w:hAnsiTheme="minorHAnsi" w:cstheme="minorBidi"/>
                <w:noProof/>
                <w:sz w:val="22"/>
                <w:szCs w:val="22"/>
                <w:lang w:val="cs-CZ"/>
              </w:rPr>
              <w:tab/>
            </w:r>
            <w:r w:rsidRPr="009E36F7">
              <w:rPr>
                <w:rStyle w:val="Hyperlink"/>
                <w:noProof/>
              </w:rPr>
              <w:t>Použité skratky a značky</w:t>
            </w:r>
            <w:r>
              <w:rPr>
                <w:noProof/>
                <w:webHidden/>
              </w:rPr>
              <w:tab/>
            </w:r>
            <w:r>
              <w:rPr>
                <w:noProof/>
                <w:webHidden/>
              </w:rPr>
              <w:fldChar w:fldCharType="begin"/>
            </w:r>
            <w:r>
              <w:rPr>
                <w:noProof/>
                <w:webHidden/>
              </w:rPr>
              <w:instrText xml:space="preserve"> PAGEREF _Toc87348699 \h </w:instrText>
            </w:r>
            <w:r>
              <w:rPr>
                <w:noProof/>
                <w:webHidden/>
              </w:rPr>
            </w:r>
            <w:r>
              <w:rPr>
                <w:noProof/>
                <w:webHidden/>
              </w:rPr>
              <w:fldChar w:fldCharType="separate"/>
            </w:r>
            <w:r w:rsidR="00C32F51">
              <w:rPr>
                <w:noProof/>
                <w:webHidden/>
              </w:rPr>
              <w:t>12</w:t>
            </w:r>
            <w:r>
              <w:rPr>
                <w:noProof/>
                <w:webHidden/>
              </w:rPr>
              <w:fldChar w:fldCharType="end"/>
            </w:r>
          </w:hyperlink>
        </w:p>
        <w:p w14:paraId="67BD9E6C" w14:textId="046B7FB0"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00" w:history="1">
            <w:r w:rsidRPr="009E36F7">
              <w:rPr>
                <w:rStyle w:val="Hyperlink"/>
                <w:noProof/>
              </w:rPr>
              <w:t>3</w:t>
            </w:r>
            <w:r>
              <w:rPr>
                <w:rFonts w:asciiTheme="minorHAnsi" w:eastAsiaTheme="minorEastAsia" w:hAnsiTheme="minorHAnsi" w:cstheme="minorBidi"/>
                <w:noProof/>
                <w:sz w:val="22"/>
                <w:szCs w:val="22"/>
                <w:lang w:val="cs-CZ"/>
              </w:rPr>
              <w:tab/>
            </w:r>
            <w:r w:rsidRPr="009E36F7">
              <w:rPr>
                <w:rStyle w:val="Hyperlink"/>
                <w:noProof/>
              </w:rPr>
              <w:t>Popis aktuálneho stavu</w:t>
            </w:r>
            <w:r>
              <w:rPr>
                <w:noProof/>
                <w:webHidden/>
              </w:rPr>
              <w:tab/>
            </w:r>
            <w:r>
              <w:rPr>
                <w:noProof/>
                <w:webHidden/>
              </w:rPr>
              <w:fldChar w:fldCharType="begin"/>
            </w:r>
            <w:r>
              <w:rPr>
                <w:noProof/>
                <w:webHidden/>
              </w:rPr>
              <w:instrText xml:space="preserve"> PAGEREF _Toc87348700 \h </w:instrText>
            </w:r>
            <w:r>
              <w:rPr>
                <w:noProof/>
                <w:webHidden/>
              </w:rPr>
            </w:r>
            <w:r>
              <w:rPr>
                <w:noProof/>
                <w:webHidden/>
              </w:rPr>
              <w:fldChar w:fldCharType="separate"/>
            </w:r>
            <w:r w:rsidR="00C32F51">
              <w:rPr>
                <w:noProof/>
                <w:webHidden/>
              </w:rPr>
              <w:t>14</w:t>
            </w:r>
            <w:r>
              <w:rPr>
                <w:noProof/>
                <w:webHidden/>
              </w:rPr>
              <w:fldChar w:fldCharType="end"/>
            </w:r>
          </w:hyperlink>
        </w:p>
        <w:p w14:paraId="7073889F" w14:textId="5D107DBF"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01" w:history="1">
            <w:r w:rsidRPr="009E36F7">
              <w:rPr>
                <w:rStyle w:val="Hyperlink"/>
                <w:noProof/>
              </w:rPr>
              <w:t>3.1</w:t>
            </w:r>
            <w:r>
              <w:rPr>
                <w:rFonts w:asciiTheme="minorHAnsi" w:eastAsiaTheme="minorEastAsia" w:hAnsiTheme="minorHAnsi" w:cstheme="minorBidi"/>
                <w:noProof/>
                <w:sz w:val="22"/>
                <w:szCs w:val="22"/>
                <w:lang w:val="cs-CZ"/>
              </w:rPr>
              <w:tab/>
            </w:r>
            <w:r w:rsidRPr="009E36F7">
              <w:rPr>
                <w:rStyle w:val="Hyperlink"/>
                <w:noProof/>
              </w:rPr>
              <w:t>Legislatíva</w:t>
            </w:r>
            <w:r>
              <w:rPr>
                <w:noProof/>
                <w:webHidden/>
              </w:rPr>
              <w:tab/>
            </w:r>
            <w:r>
              <w:rPr>
                <w:noProof/>
                <w:webHidden/>
              </w:rPr>
              <w:fldChar w:fldCharType="begin"/>
            </w:r>
            <w:r>
              <w:rPr>
                <w:noProof/>
                <w:webHidden/>
              </w:rPr>
              <w:instrText xml:space="preserve"> PAGEREF _Toc87348701 \h </w:instrText>
            </w:r>
            <w:r>
              <w:rPr>
                <w:noProof/>
                <w:webHidden/>
              </w:rPr>
            </w:r>
            <w:r>
              <w:rPr>
                <w:noProof/>
                <w:webHidden/>
              </w:rPr>
              <w:fldChar w:fldCharType="separate"/>
            </w:r>
            <w:r w:rsidR="00C32F51">
              <w:rPr>
                <w:noProof/>
                <w:webHidden/>
              </w:rPr>
              <w:t>14</w:t>
            </w:r>
            <w:r>
              <w:rPr>
                <w:noProof/>
                <w:webHidden/>
              </w:rPr>
              <w:fldChar w:fldCharType="end"/>
            </w:r>
          </w:hyperlink>
        </w:p>
        <w:p w14:paraId="1B4D317A" w14:textId="226E9BB6"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02" w:history="1">
            <w:r w:rsidRPr="009E36F7">
              <w:rPr>
                <w:rStyle w:val="Hyperlink"/>
                <w:noProof/>
              </w:rPr>
              <w:t>3.1.1</w:t>
            </w:r>
            <w:r>
              <w:rPr>
                <w:rFonts w:asciiTheme="minorHAnsi" w:eastAsiaTheme="minorEastAsia" w:hAnsiTheme="minorHAnsi" w:cstheme="minorBidi"/>
                <w:noProof/>
                <w:sz w:val="22"/>
                <w:szCs w:val="22"/>
                <w:lang w:val="cs-CZ"/>
              </w:rPr>
              <w:tab/>
            </w:r>
            <w:r w:rsidRPr="009E36F7">
              <w:rPr>
                <w:rStyle w:val="Hyperlink"/>
                <w:noProof/>
              </w:rPr>
              <w:t>Zákon o výbere mýta</w:t>
            </w:r>
            <w:r>
              <w:rPr>
                <w:noProof/>
                <w:webHidden/>
              </w:rPr>
              <w:tab/>
            </w:r>
            <w:r>
              <w:rPr>
                <w:noProof/>
                <w:webHidden/>
              </w:rPr>
              <w:fldChar w:fldCharType="begin"/>
            </w:r>
            <w:r>
              <w:rPr>
                <w:noProof/>
                <w:webHidden/>
              </w:rPr>
              <w:instrText xml:space="preserve"> PAGEREF _Toc87348702 \h </w:instrText>
            </w:r>
            <w:r>
              <w:rPr>
                <w:noProof/>
                <w:webHidden/>
              </w:rPr>
            </w:r>
            <w:r>
              <w:rPr>
                <w:noProof/>
                <w:webHidden/>
              </w:rPr>
              <w:fldChar w:fldCharType="separate"/>
            </w:r>
            <w:r w:rsidR="00C32F51">
              <w:rPr>
                <w:noProof/>
                <w:webHidden/>
              </w:rPr>
              <w:t>14</w:t>
            </w:r>
            <w:r>
              <w:rPr>
                <w:noProof/>
                <w:webHidden/>
              </w:rPr>
              <w:fldChar w:fldCharType="end"/>
            </w:r>
          </w:hyperlink>
        </w:p>
        <w:p w14:paraId="7B6FD694" w14:textId="3EA3785B"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03" w:history="1">
            <w:r w:rsidRPr="009E36F7">
              <w:rPr>
                <w:rStyle w:val="Hyperlink"/>
                <w:noProof/>
              </w:rPr>
              <w:t>3.1.2</w:t>
            </w:r>
            <w:r>
              <w:rPr>
                <w:rFonts w:asciiTheme="minorHAnsi" w:eastAsiaTheme="minorEastAsia" w:hAnsiTheme="minorHAnsi" w:cstheme="minorBidi"/>
                <w:noProof/>
                <w:sz w:val="22"/>
                <w:szCs w:val="22"/>
                <w:lang w:val="cs-CZ"/>
              </w:rPr>
              <w:tab/>
            </w:r>
            <w:r w:rsidRPr="009E36F7">
              <w:rPr>
                <w:rStyle w:val="Hyperlink"/>
                <w:noProof/>
              </w:rPr>
              <w:t>Smernica</w:t>
            </w:r>
            <w:r>
              <w:rPr>
                <w:noProof/>
                <w:webHidden/>
              </w:rPr>
              <w:tab/>
            </w:r>
            <w:r>
              <w:rPr>
                <w:noProof/>
                <w:webHidden/>
              </w:rPr>
              <w:fldChar w:fldCharType="begin"/>
            </w:r>
            <w:r>
              <w:rPr>
                <w:noProof/>
                <w:webHidden/>
              </w:rPr>
              <w:instrText xml:space="preserve"> PAGEREF _Toc87348703 \h </w:instrText>
            </w:r>
            <w:r>
              <w:rPr>
                <w:noProof/>
                <w:webHidden/>
              </w:rPr>
            </w:r>
            <w:r>
              <w:rPr>
                <w:noProof/>
                <w:webHidden/>
              </w:rPr>
              <w:fldChar w:fldCharType="separate"/>
            </w:r>
            <w:r w:rsidR="00C32F51">
              <w:rPr>
                <w:noProof/>
                <w:webHidden/>
              </w:rPr>
              <w:t>14</w:t>
            </w:r>
            <w:r>
              <w:rPr>
                <w:noProof/>
                <w:webHidden/>
              </w:rPr>
              <w:fldChar w:fldCharType="end"/>
            </w:r>
          </w:hyperlink>
        </w:p>
        <w:p w14:paraId="0C87F3FD" w14:textId="479213F4"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04" w:history="1">
            <w:r w:rsidRPr="009E36F7">
              <w:rPr>
                <w:rStyle w:val="Hyperlink"/>
                <w:noProof/>
              </w:rPr>
              <w:t>3.1.3</w:t>
            </w:r>
            <w:r>
              <w:rPr>
                <w:rFonts w:asciiTheme="minorHAnsi" w:eastAsiaTheme="minorEastAsia" w:hAnsiTheme="minorHAnsi" w:cstheme="minorBidi"/>
                <w:noProof/>
                <w:sz w:val="22"/>
                <w:szCs w:val="22"/>
                <w:lang w:val="cs-CZ"/>
              </w:rPr>
              <w:tab/>
            </w:r>
            <w:r w:rsidRPr="009E36F7">
              <w:rPr>
                <w:rStyle w:val="Hyperlink"/>
                <w:noProof/>
              </w:rPr>
              <w:t>Vykonávacie predpisy k Smernici</w:t>
            </w:r>
            <w:r>
              <w:rPr>
                <w:noProof/>
                <w:webHidden/>
              </w:rPr>
              <w:tab/>
            </w:r>
            <w:r>
              <w:rPr>
                <w:noProof/>
                <w:webHidden/>
              </w:rPr>
              <w:fldChar w:fldCharType="begin"/>
            </w:r>
            <w:r>
              <w:rPr>
                <w:noProof/>
                <w:webHidden/>
              </w:rPr>
              <w:instrText xml:space="preserve"> PAGEREF _Toc87348704 \h </w:instrText>
            </w:r>
            <w:r>
              <w:rPr>
                <w:noProof/>
                <w:webHidden/>
              </w:rPr>
            </w:r>
            <w:r>
              <w:rPr>
                <w:noProof/>
                <w:webHidden/>
              </w:rPr>
              <w:fldChar w:fldCharType="separate"/>
            </w:r>
            <w:r w:rsidR="00C32F51">
              <w:rPr>
                <w:noProof/>
                <w:webHidden/>
              </w:rPr>
              <w:t>14</w:t>
            </w:r>
            <w:r>
              <w:rPr>
                <w:noProof/>
                <w:webHidden/>
              </w:rPr>
              <w:fldChar w:fldCharType="end"/>
            </w:r>
          </w:hyperlink>
        </w:p>
        <w:p w14:paraId="56A7ED14" w14:textId="0614098D"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05" w:history="1">
            <w:r w:rsidRPr="009E36F7">
              <w:rPr>
                <w:rStyle w:val="Hyperlink"/>
                <w:noProof/>
              </w:rPr>
              <w:t>3.2</w:t>
            </w:r>
            <w:r>
              <w:rPr>
                <w:rFonts w:asciiTheme="minorHAnsi" w:eastAsiaTheme="minorEastAsia" w:hAnsiTheme="minorHAnsi" w:cstheme="minorBidi"/>
                <w:noProof/>
                <w:sz w:val="22"/>
                <w:szCs w:val="22"/>
                <w:lang w:val="cs-CZ"/>
              </w:rPr>
              <w:tab/>
            </w:r>
            <w:r w:rsidRPr="009E36F7">
              <w:rPr>
                <w:rStyle w:val="Hyperlink"/>
                <w:noProof/>
              </w:rPr>
              <w:t>Prevádzka</w:t>
            </w:r>
            <w:r>
              <w:rPr>
                <w:noProof/>
                <w:webHidden/>
              </w:rPr>
              <w:tab/>
            </w:r>
            <w:r>
              <w:rPr>
                <w:noProof/>
                <w:webHidden/>
              </w:rPr>
              <w:fldChar w:fldCharType="begin"/>
            </w:r>
            <w:r>
              <w:rPr>
                <w:noProof/>
                <w:webHidden/>
              </w:rPr>
              <w:instrText xml:space="preserve"> PAGEREF _Toc87348705 \h </w:instrText>
            </w:r>
            <w:r>
              <w:rPr>
                <w:noProof/>
                <w:webHidden/>
              </w:rPr>
            </w:r>
            <w:r>
              <w:rPr>
                <w:noProof/>
                <w:webHidden/>
              </w:rPr>
              <w:fldChar w:fldCharType="separate"/>
            </w:r>
            <w:r w:rsidR="00C32F51">
              <w:rPr>
                <w:noProof/>
                <w:webHidden/>
              </w:rPr>
              <w:t>14</w:t>
            </w:r>
            <w:r>
              <w:rPr>
                <w:noProof/>
                <w:webHidden/>
              </w:rPr>
              <w:fldChar w:fldCharType="end"/>
            </w:r>
          </w:hyperlink>
        </w:p>
        <w:p w14:paraId="033EECA4" w14:textId="459F9ECD"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06" w:history="1">
            <w:r w:rsidRPr="009E36F7">
              <w:rPr>
                <w:rStyle w:val="Hyperlink"/>
                <w:noProof/>
              </w:rPr>
              <w:t>3.3</w:t>
            </w:r>
            <w:r>
              <w:rPr>
                <w:rFonts w:asciiTheme="minorHAnsi" w:eastAsiaTheme="minorEastAsia" w:hAnsiTheme="minorHAnsi" w:cstheme="minorBidi"/>
                <w:noProof/>
                <w:sz w:val="22"/>
                <w:szCs w:val="22"/>
                <w:lang w:val="cs-CZ"/>
              </w:rPr>
              <w:tab/>
            </w:r>
            <w:r w:rsidRPr="009E36F7">
              <w:rPr>
                <w:rStyle w:val="Hyperlink"/>
                <w:noProof/>
              </w:rPr>
              <w:t>Architektúra</w:t>
            </w:r>
            <w:r>
              <w:rPr>
                <w:noProof/>
                <w:webHidden/>
              </w:rPr>
              <w:tab/>
            </w:r>
            <w:r>
              <w:rPr>
                <w:noProof/>
                <w:webHidden/>
              </w:rPr>
              <w:fldChar w:fldCharType="begin"/>
            </w:r>
            <w:r>
              <w:rPr>
                <w:noProof/>
                <w:webHidden/>
              </w:rPr>
              <w:instrText xml:space="preserve"> PAGEREF _Toc87348706 \h </w:instrText>
            </w:r>
            <w:r>
              <w:rPr>
                <w:noProof/>
                <w:webHidden/>
              </w:rPr>
            </w:r>
            <w:r>
              <w:rPr>
                <w:noProof/>
                <w:webHidden/>
              </w:rPr>
              <w:fldChar w:fldCharType="separate"/>
            </w:r>
            <w:r w:rsidR="00C32F51">
              <w:rPr>
                <w:noProof/>
                <w:webHidden/>
              </w:rPr>
              <w:t>14</w:t>
            </w:r>
            <w:r>
              <w:rPr>
                <w:noProof/>
                <w:webHidden/>
              </w:rPr>
              <w:fldChar w:fldCharType="end"/>
            </w:r>
          </w:hyperlink>
        </w:p>
        <w:p w14:paraId="2008F0EC" w14:textId="5386BE45"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07" w:history="1">
            <w:r w:rsidRPr="009E36F7">
              <w:rPr>
                <w:rStyle w:val="Hyperlink"/>
                <w:noProof/>
              </w:rPr>
              <w:t>4</w:t>
            </w:r>
            <w:r>
              <w:rPr>
                <w:rFonts w:asciiTheme="minorHAnsi" w:eastAsiaTheme="minorEastAsia" w:hAnsiTheme="minorHAnsi" w:cstheme="minorBidi"/>
                <w:noProof/>
                <w:sz w:val="22"/>
                <w:szCs w:val="22"/>
                <w:lang w:val="cs-CZ"/>
              </w:rPr>
              <w:tab/>
            </w:r>
            <w:r w:rsidRPr="009E36F7">
              <w:rPr>
                <w:rStyle w:val="Hyperlink"/>
                <w:noProof/>
              </w:rPr>
              <w:t>Alternatívne riešenia</w:t>
            </w:r>
            <w:r>
              <w:rPr>
                <w:noProof/>
                <w:webHidden/>
              </w:rPr>
              <w:tab/>
            </w:r>
            <w:r>
              <w:rPr>
                <w:noProof/>
                <w:webHidden/>
              </w:rPr>
              <w:fldChar w:fldCharType="begin"/>
            </w:r>
            <w:r>
              <w:rPr>
                <w:noProof/>
                <w:webHidden/>
              </w:rPr>
              <w:instrText xml:space="preserve"> PAGEREF _Toc87348707 \h </w:instrText>
            </w:r>
            <w:r>
              <w:rPr>
                <w:noProof/>
                <w:webHidden/>
              </w:rPr>
            </w:r>
            <w:r>
              <w:rPr>
                <w:noProof/>
                <w:webHidden/>
              </w:rPr>
              <w:fldChar w:fldCharType="separate"/>
            </w:r>
            <w:r w:rsidR="00C32F51">
              <w:rPr>
                <w:noProof/>
                <w:webHidden/>
              </w:rPr>
              <w:t>16</w:t>
            </w:r>
            <w:r>
              <w:rPr>
                <w:noProof/>
                <w:webHidden/>
              </w:rPr>
              <w:fldChar w:fldCharType="end"/>
            </w:r>
          </w:hyperlink>
        </w:p>
        <w:p w14:paraId="120F610F" w14:textId="37E69043"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08" w:history="1">
            <w:r w:rsidRPr="009E36F7">
              <w:rPr>
                <w:rStyle w:val="Hyperlink"/>
                <w:noProof/>
              </w:rPr>
              <w:t>4.1</w:t>
            </w:r>
            <w:r>
              <w:rPr>
                <w:rFonts w:asciiTheme="minorHAnsi" w:eastAsiaTheme="minorEastAsia" w:hAnsiTheme="minorHAnsi" w:cstheme="minorBidi"/>
                <w:noProof/>
                <w:sz w:val="22"/>
                <w:szCs w:val="22"/>
                <w:lang w:val="cs-CZ"/>
              </w:rPr>
              <w:tab/>
            </w:r>
            <w:r w:rsidRPr="009E36F7">
              <w:rPr>
                <w:rStyle w:val="Hyperlink"/>
                <w:noProof/>
              </w:rPr>
              <w:t>Nulový variant</w:t>
            </w:r>
            <w:r>
              <w:rPr>
                <w:noProof/>
                <w:webHidden/>
              </w:rPr>
              <w:tab/>
            </w:r>
            <w:r>
              <w:rPr>
                <w:noProof/>
                <w:webHidden/>
              </w:rPr>
              <w:fldChar w:fldCharType="begin"/>
            </w:r>
            <w:r>
              <w:rPr>
                <w:noProof/>
                <w:webHidden/>
              </w:rPr>
              <w:instrText xml:space="preserve"> PAGEREF _Toc87348708 \h </w:instrText>
            </w:r>
            <w:r>
              <w:rPr>
                <w:noProof/>
                <w:webHidden/>
              </w:rPr>
            </w:r>
            <w:r>
              <w:rPr>
                <w:noProof/>
                <w:webHidden/>
              </w:rPr>
              <w:fldChar w:fldCharType="separate"/>
            </w:r>
            <w:r w:rsidR="00C32F51">
              <w:rPr>
                <w:noProof/>
                <w:webHidden/>
              </w:rPr>
              <w:t>16</w:t>
            </w:r>
            <w:r>
              <w:rPr>
                <w:noProof/>
                <w:webHidden/>
              </w:rPr>
              <w:fldChar w:fldCharType="end"/>
            </w:r>
          </w:hyperlink>
        </w:p>
        <w:p w14:paraId="730B4653" w14:textId="60CDC5D6"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09" w:history="1">
            <w:r w:rsidRPr="009E36F7">
              <w:rPr>
                <w:rStyle w:val="Hyperlink"/>
                <w:noProof/>
              </w:rPr>
              <w:t>4.1.1</w:t>
            </w:r>
            <w:r>
              <w:rPr>
                <w:rFonts w:asciiTheme="minorHAnsi" w:eastAsiaTheme="minorEastAsia" w:hAnsiTheme="minorHAnsi" w:cstheme="minorBidi"/>
                <w:noProof/>
                <w:sz w:val="22"/>
                <w:szCs w:val="22"/>
                <w:lang w:val="cs-CZ"/>
              </w:rPr>
              <w:tab/>
            </w:r>
            <w:r w:rsidRPr="009E36F7">
              <w:rPr>
                <w:rStyle w:val="Hyperlink"/>
                <w:noProof/>
              </w:rPr>
              <w:t>Podiel  poskytovateľov EETS na výbere mýta</w:t>
            </w:r>
            <w:r>
              <w:rPr>
                <w:noProof/>
                <w:webHidden/>
              </w:rPr>
              <w:tab/>
            </w:r>
            <w:r>
              <w:rPr>
                <w:noProof/>
                <w:webHidden/>
              </w:rPr>
              <w:fldChar w:fldCharType="begin"/>
            </w:r>
            <w:r>
              <w:rPr>
                <w:noProof/>
                <w:webHidden/>
              </w:rPr>
              <w:instrText xml:space="preserve"> PAGEREF _Toc87348709 \h </w:instrText>
            </w:r>
            <w:r>
              <w:rPr>
                <w:noProof/>
                <w:webHidden/>
              </w:rPr>
            </w:r>
            <w:r>
              <w:rPr>
                <w:noProof/>
                <w:webHidden/>
              </w:rPr>
              <w:fldChar w:fldCharType="separate"/>
            </w:r>
            <w:r w:rsidR="00C32F51">
              <w:rPr>
                <w:noProof/>
                <w:webHidden/>
              </w:rPr>
              <w:t>16</w:t>
            </w:r>
            <w:r>
              <w:rPr>
                <w:noProof/>
                <w:webHidden/>
              </w:rPr>
              <w:fldChar w:fldCharType="end"/>
            </w:r>
          </w:hyperlink>
        </w:p>
        <w:p w14:paraId="1295E21B" w14:textId="0CCFEC5F"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0" w:history="1">
            <w:r w:rsidRPr="009E36F7">
              <w:rPr>
                <w:rStyle w:val="Hyperlink"/>
                <w:noProof/>
              </w:rPr>
              <w:t>4.1.2</w:t>
            </w:r>
            <w:r>
              <w:rPr>
                <w:rFonts w:asciiTheme="minorHAnsi" w:eastAsiaTheme="minorEastAsia" w:hAnsiTheme="minorHAnsi" w:cstheme="minorBidi"/>
                <w:noProof/>
                <w:sz w:val="22"/>
                <w:szCs w:val="22"/>
                <w:lang w:val="cs-CZ"/>
              </w:rPr>
              <w:tab/>
            </w:r>
            <w:r w:rsidRPr="009E36F7">
              <w:rPr>
                <w:rStyle w:val="Hyperlink"/>
                <w:noProof/>
              </w:rPr>
              <w:t>Náklady</w:t>
            </w:r>
            <w:r>
              <w:rPr>
                <w:noProof/>
                <w:webHidden/>
              </w:rPr>
              <w:tab/>
            </w:r>
            <w:r>
              <w:rPr>
                <w:noProof/>
                <w:webHidden/>
              </w:rPr>
              <w:fldChar w:fldCharType="begin"/>
            </w:r>
            <w:r>
              <w:rPr>
                <w:noProof/>
                <w:webHidden/>
              </w:rPr>
              <w:instrText xml:space="preserve"> PAGEREF _Toc87348710 \h </w:instrText>
            </w:r>
            <w:r>
              <w:rPr>
                <w:noProof/>
                <w:webHidden/>
              </w:rPr>
            </w:r>
            <w:r>
              <w:rPr>
                <w:noProof/>
                <w:webHidden/>
              </w:rPr>
              <w:fldChar w:fldCharType="separate"/>
            </w:r>
            <w:r w:rsidR="00C32F51">
              <w:rPr>
                <w:noProof/>
                <w:webHidden/>
              </w:rPr>
              <w:t>16</w:t>
            </w:r>
            <w:r>
              <w:rPr>
                <w:noProof/>
                <w:webHidden/>
              </w:rPr>
              <w:fldChar w:fldCharType="end"/>
            </w:r>
          </w:hyperlink>
        </w:p>
        <w:p w14:paraId="1B0FD457" w14:textId="1AAF3B07"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1" w:history="1">
            <w:r w:rsidRPr="009E36F7">
              <w:rPr>
                <w:rStyle w:val="Hyperlink"/>
                <w:noProof/>
              </w:rPr>
              <w:t>4.1.3</w:t>
            </w:r>
            <w:r>
              <w:rPr>
                <w:rFonts w:asciiTheme="minorHAnsi" w:eastAsiaTheme="minorEastAsia" w:hAnsiTheme="minorHAnsi" w:cstheme="minorBidi"/>
                <w:noProof/>
                <w:sz w:val="22"/>
                <w:szCs w:val="22"/>
                <w:lang w:val="cs-CZ"/>
              </w:rPr>
              <w:tab/>
            </w:r>
            <w:r w:rsidRPr="009E36F7">
              <w:rPr>
                <w:rStyle w:val="Hyperlink"/>
                <w:noProof/>
              </w:rPr>
              <w:t>Príjmy</w:t>
            </w:r>
            <w:r>
              <w:rPr>
                <w:noProof/>
                <w:webHidden/>
              </w:rPr>
              <w:tab/>
            </w:r>
            <w:r>
              <w:rPr>
                <w:noProof/>
                <w:webHidden/>
              </w:rPr>
              <w:fldChar w:fldCharType="begin"/>
            </w:r>
            <w:r>
              <w:rPr>
                <w:noProof/>
                <w:webHidden/>
              </w:rPr>
              <w:instrText xml:space="preserve"> PAGEREF _Toc87348711 \h </w:instrText>
            </w:r>
            <w:r>
              <w:rPr>
                <w:noProof/>
                <w:webHidden/>
              </w:rPr>
            </w:r>
            <w:r>
              <w:rPr>
                <w:noProof/>
                <w:webHidden/>
              </w:rPr>
              <w:fldChar w:fldCharType="separate"/>
            </w:r>
            <w:r w:rsidR="00C32F51">
              <w:rPr>
                <w:noProof/>
                <w:webHidden/>
              </w:rPr>
              <w:t>17</w:t>
            </w:r>
            <w:r>
              <w:rPr>
                <w:noProof/>
                <w:webHidden/>
              </w:rPr>
              <w:fldChar w:fldCharType="end"/>
            </w:r>
          </w:hyperlink>
        </w:p>
        <w:p w14:paraId="4951DFBA" w14:textId="5528B104"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2" w:history="1">
            <w:r w:rsidRPr="009E36F7">
              <w:rPr>
                <w:rStyle w:val="Hyperlink"/>
                <w:noProof/>
              </w:rPr>
              <w:t>4.1.4</w:t>
            </w:r>
            <w:r>
              <w:rPr>
                <w:rFonts w:asciiTheme="minorHAnsi" w:eastAsiaTheme="minorEastAsia" w:hAnsiTheme="minorHAnsi" w:cstheme="minorBidi"/>
                <w:noProof/>
                <w:sz w:val="22"/>
                <w:szCs w:val="22"/>
                <w:lang w:val="cs-CZ"/>
              </w:rPr>
              <w:tab/>
            </w:r>
            <w:r w:rsidRPr="009E36F7">
              <w:rPr>
                <w:rStyle w:val="Hyperlink"/>
                <w:noProof/>
              </w:rPr>
              <w:t>Celkové náklady životného cyklu projektu</w:t>
            </w:r>
            <w:r>
              <w:rPr>
                <w:noProof/>
                <w:webHidden/>
              </w:rPr>
              <w:tab/>
            </w:r>
            <w:r>
              <w:rPr>
                <w:noProof/>
                <w:webHidden/>
              </w:rPr>
              <w:fldChar w:fldCharType="begin"/>
            </w:r>
            <w:r>
              <w:rPr>
                <w:noProof/>
                <w:webHidden/>
              </w:rPr>
              <w:instrText xml:space="preserve"> PAGEREF _Toc87348712 \h </w:instrText>
            </w:r>
            <w:r>
              <w:rPr>
                <w:noProof/>
                <w:webHidden/>
              </w:rPr>
            </w:r>
            <w:r>
              <w:rPr>
                <w:noProof/>
                <w:webHidden/>
              </w:rPr>
              <w:fldChar w:fldCharType="separate"/>
            </w:r>
            <w:r w:rsidR="00C32F51">
              <w:rPr>
                <w:noProof/>
                <w:webHidden/>
              </w:rPr>
              <w:t>17</w:t>
            </w:r>
            <w:r>
              <w:rPr>
                <w:noProof/>
                <w:webHidden/>
              </w:rPr>
              <w:fldChar w:fldCharType="end"/>
            </w:r>
          </w:hyperlink>
        </w:p>
        <w:p w14:paraId="6500BF68" w14:textId="6605BF66"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13" w:history="1">
            <w:r w:rsidRPr="009E36F7">
              <w:rPr>
                <w:rStyle w:val="Hyperlink"/>
                <w:noProof/>
              </w:rPr>
              <w:t>4.2</w:t>
            </w:r>
            <w:r>
              <w:rPr>
                <w:rFonts w:asciiTheme="minorHAnsi" w:eastAsiaTheme="minorEastAsia" w:hAnsiTheme="minorHAnsi" w:cstheme="minorBidi"/>
                <w:noProof/>
                <w:sz w:val="22"/>
                <w:szCs w:val="22"/>
                <w:lang w:val="cs-CZ"/>
              </w:rPr>
              <w:tab/>
            </w:r>
            <w:r w:rsidRPr="009E36F7">
              <w:rPr>
                <w:rStyle w:val="Hyperlink"/>
                <w:noProof/>
              </w:rPr>
              <w:t>Variant 1</w:t>
            </w:r>
            <w:r>
              <w:rPr>
                <w:noProof/>
                <w:webHidden/>
              </w:rPr>
              <w:tab/>
            </w:r>
            <w:r>
              <w:rPr>
                <w:noProof/>
                <w:webHidden/>
              </w:rPr>
              <w:fldChar w:fldCharType="begin"/>
            </w:r>
            <w:r>
              <w:rPr>
                <w:noProof/>
                <w:webHidden/>
              </w:rPr>
              <w:instrText xml:space="preserve"> PAGEREF _Toc87348713 \h </w:instrText>
            </w:r>
            <w:r>
              <w:rPr>
                <w:noProof/>
                <w:webHidden/>
              </w:rPr>
            </w:r>
            <w:r>
              <w:rPr>
                <w:noProof/>
                <w:webHidden/>
              </w:rPr>
              <w:fldChar w:fldCharType="separate"/>
            </w:r>
            <w:r w:rsidR="00C32F51">
              <w:rPr>
                <w:noProof/>
                <w:webHidden/>
              </w:rPr>
              <w:t>17</w:t>
            </w:r>
            <w:r>
              <w:rPr>
                <w:noProof/>
                <w:webHidden/>
              </w:rPr>
              <w:fldChar w:fldCharType="end"/>
            </w:r>
          </w:hyperlink>
        </w:p>
        <w:p w14:paraId="68BBD4A4" w14:textId="7B892D65"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4" w:history="1">
            <w:r w:rsidRPr="009E36F7">
              <w:rPr>
                <w:rStyle w:val="Hyperlink"/>
                <w:noProof/>
              </w:rPr>
              <w:t>4.2.1</w:t>
            </w:r>
            <w:r>
              <w:rPr>
                <w:rFonts w:asciiTheme="minorHAnsi" w:eastAsiaTheme="minorEastAsia" w:hAnsiTheme="minorHAnsi" w:cstheme="minorBidi"/>
                <w:noProof/>
                <w:sz w:val="22"/>
                <w:szCs w:val="22"/>
                <w:lang w:val="cs-CZ"/>
              </w:rPr>
              <w:tab/>
            </w:r>
            <w:r w:rsidRPr="009E36F7">
              <w:rPr>
                <w:rStyle w:val="Hyperlink"/>
                <w:noProof/>
              </w:rPr>
              <w:t>Podiel  poskytovateľov EETS na výbere mýta</w:t>
            </w:r>
            <w:r>
              <w:rPr>
                <w:noProof/>
                <w:webHidden/>
              </w:rPr>
              <w:tab/>
            </w:r>
            <w:r>
              <w:rPr>
                <w:noProof/>
                <w:webHidden/>
              </w:rPr>
              <w:fldChar w:fldCharType="begin"/>
            </w:r>
            <w:r>
              <w:rPr>
                <w:noProof/>
                <w:webHidden/>
              </w:rPr>
              <w:instrText xml:space="preserve"> PAGEREF _Toc87348714 \h </w:instrText>
            </w:r>
            <w:r>
              <w:rPr>
                <w:noProof/>
                <w:webHidden/>
              </w:rPr>
            </w:r>
            <w:r>
              <w:rPr>
                <w:noProof/>
                <w:webHidden/>
              </w:rPr>
              <w:fldChar w:fldCharType="separate"/>
            </w:r>
            <w:r w:rsidR="00C32F51">
              <w:rPr>
                <w:noProof/>
                <w:webHidden/>
              </w:rPr>
              <w:t>18</w:t>
            </w:r>
            <w:r>
              <w:rPr>
                <w:noProof/>
                <w:webHidden/>
              </w:rPr>
              <w:fldChar w:fldCharType="end"/>
            </w:r>
          </w:hyperlink>
        </w:p>
        <w:p w14:paraId="08D98BF2" w14:textId="772D6B48"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5" w:history="1">
            <w:r w:rsidRPr="009E36F7">
              <w:rPr>
                <w:rStyle w:val="Hyperlink"/>
                <w:noProof/>
              </w:rPr>
              <w:t>4.2.2</w:t>
            </w:r>
            <w:r>
              <w:rPr>
                <w:rFonts w:asciiTheme="minorHAnsi" w:eastAsiaTheme="minorEastAsia" w:hAnsiTheme="minorHAnsi" w:cstheme="minorBidi"/>
                <w:noProof/>
                <w:sz w:val="22"/>
                <w:szCs w:val="22"/>
                <w:lang w:val="cs-CZ"/>
              </w:rPr>
              <w:tab/>
            </w:r>
            <w:r w:rsidRPr="009E36F7">
              <w:rPr>
                <w:rStyle w:val="Hyperlink"/>
                <w:noProof/>
              </w:rPr>
              <w:t>Náklady</w:t>
            </w:r>
            <w:r>
              <w:rPr>
                <w:noProof/>
                <w:webHidden/>
              </w:rPr>
              <w:tab/>
            </w:r>
            <w:r>
              <w:rPr>
                <w:noProof/>
                <w:webHidden/>
              </w:rPr>
              <w:fldChar w:fldCharType="begin"/>
            </w:r>
            <w:r>
              <w:rPr>
                <w:noProof/>
                <w:webHidden/>
              </w:rPr>
              <w:instrText xml:space="preserve"> PAGEREF _Toc87348715 \h </w:instrText>
            </w:r>
            <w:r>
              <w:rPr>
                <w:noProof/>
                <w:webHidden/>
              </w:rPr>
            </w:r>
            <w:r>
              <w:rPr>
                <w:noProof/>
                <w:webHidden/>
              </w:rPr>
              <w:fldChar w:fldCharType="separate"/>
            </w:r>
            <w:r w:rsidR="00C32F51">
              <w:rPr>
                <w:noProof/>
                <w:webHidden/>
              </w:rPr>
              <w:t>18</w:t>
            </w:r>
            <w:r>
              <w:rPr>
                <w:noProof/>
                <w:webHidden/>
              </w:rPr>
              <w:fldChar w:fldCharType="end"/>
            </w:r>
          </w:hyperlink>
        </w:p>
        <w:p w14:paraId="1CDA79C4" w14:textId="6BAD915E"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6" w:history="1">
            <w:r w:rsidRPr="009E36F7">
              <w:rPr>
                <w:rStyle w:val="Hyperlink"/>
                <w:noProof/>
              </w:rPr>
              <w:t>4.2.3</w:t>
            </w:r>
            <w:r>
              <w:rPr>
                <w:rFonts w:asciiTheme="minorHAnsi" w:eastAsiaTheme="minorEastAsia" w:hAnsiTheme="minorHAnsi" w:cstheme="minorBidi"/>
                <w:noProof/>
                <w:sz w:val="22"/>
                <w:szCs w:val="22"/>
                <w:lang w:val="cs-CZ"/>
              </w:rPr>
              <w:tab/>
            </w:r>
            <w:r w:rsidRPr="009E36F7">
              <w:rPr>
                <w:rStyle w:val="Hyperlink"/>
                <w:noProof/>
              </w:rPr>
              <w:t>Príjmy</w:t>
            </w:r>
            <w:r>
              <w:rPr>
                <w:noProof/>
                <w:webHidden/>
              </w:rPr>
              <w:tab/>
            </w:r>
            <w:r>
              <w:rPr>
                <w:noProof/>
                <w:webHidden/>
              </w:rPr>
              <w:fldChar w:fldCharType="begin"/>
            </w:r>
            <w:r>
              <w:rPr>
                <w:noProof/>
                <w:webHidden/>
              </w:rPr>
              <w:instrText xml:space="preserve"> PAGEREF _Toc87348716 \h </w:instrText>
            </w:r>
            <w:r>
              <w:rPr>
                <w:noProof/>
                <w:webHidden/>
              </w:rPr>
            </w:r>
            <w:r>
              <w:rPr>
                <w:noProof/>
                <w:webHidden/>
              </w:rPr>
              <w:fldChar w:fldCharType="separate"/>
            </w:r>
            <w:r w:rsidR="00C32F51">
              <w:rPr>
                <w:noProof/>
                <w:webHidden/>
              </w:rPr>
              <w:t>19</w:t>
            </w:r>
            <w:r>
              <w:rPr>
                <w:noProof/>
                <w:webHidden/>
              </w:rPr>
              <w:fldChar w:fldCharType="end"/>
            </w:r>
          </w:hyperlink>
        </w:p>
        <w:p w14:paraId="047E062F" w14:textId="578645A5"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7" w:history="1">
            <w:r w:rsidRPr="009E36F7">
              <w:rPr>
                <w:rStyle w:val="Hyperlink"/>
                <w:noProof/>
              </w:rPr>
              <w:t>4.2.4</w:t>
            </w:r>
            <w:r>
              <w:rPr>
                <w:rFonts w:asciiTheme="minorHAnsi" w:eastAsiaTheme="minorEastAsia" w:hAnsiTheme="minorHAnsi" w:cstheme="minorBidi"/>
                <w:noProof/>
                <w:sz w:val="22"/>
                <w:szCs w:val="22"/>
                <w:lang w:val="cs-CZ"/>
              </w:rPr>
              <w:tab/>
            </w:r>
            <w:r w:rsidRPr="009E36F7">
              <w:rPr>
                <w:rStyle w:val="Hyperlink"/>
                <w:noProof/>
              </w:rPr>
              <w:t>Celkové náklady životného cyklu projektu</w:t>
            </w:r>
            <w:r>
              <w:rPr>
                <w:noProof/>
                <w:webHidden/>
              </w:rPr>
              <w:tab/>
            </w:r>
            <w:r>
              <w:rPr>
                <w:noProof/>
                <w:webHidden/>
              </w:rPr>
              <w:fldChar w:fldCharType="begin"/>
            </w:r>
            <w:r>
              <w:rPr>
                <w:noProof/>
                <w:webHidden/>
              </w:rPr>
              <w:instrText xml:space="preserve"> PAGEREF _Toc87348717 \h </w:instrText>
            </w:r>
            <w:r>
              <w:rPr>
                <w:noProof/>
                <w:webHidden/>
              </w:rPr>
            </w:r>
            <w:r>
              <w:rPr>
                <w:noProof/>
                <w:webHidden/>
              </w:rPr>
              <w:fldChar w:fldCharType="separate"/>
            </w:r>
            <w:r w:rsidR="00C32F51">
              <w:rPr>
                <w:noProof/>
                <w:webHidden/>
              </w:rPr>
              <w:t>20</w:t>
            </w:r>
            <w:r>
              <w:rPr>
                <w:noProof/>
                <w:webHidden/>
              </w:rPr>
              <w:fldChar w:fldCharType="end"/>
            </w:r>
          </w:hyperlink>
        </w:p>
        <w:p w14:paraId="71BFF277" w14:textId="62A6BFCE"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18" w:history="1">
            <w:r w:rsidRPr="009E36F7">
              <w:rPr>
                <w:rStyle w:val="Hyperlink"/>
                <w:noProof/>
              </w:rPr>
              <w:t>4.3</w:t>
            </w:r>
            <w:r>
              <w:rPr>
                <w:rFonts w:asciiTheme="minorHAnsi" w:eastAsiaTheme="minorEastAsia" w:hAnsiTheme="minorHAnsi" w:cstheme="minorBidi"/>
                <w:noProof/>
                <w:sz w:val="22"/>
                <w:szCs w:val="22"/>
                <w:lang w:val="cs-CZ"/>
              </w:rPr>
              <w:tab/>
            </w:r>
            <w:r w:rsidRPr="009E36F7">
              <w:rPr>
                <w:rStyle w:val="Hyperlink"/>
                <w:noProof/>
              </w:rPr>
              <w:t>Variant 2</w:t>
            </w:r>
            <w:r>
              <w:rPr>
                <w:noProof/>
                <w:webHidden/>
              </w:rPr>
              <w:tab/>
            </w:r>
            <w:r>
              <w:rPr>
                <w:noProof/>
                <w:webHidden/>
              </w:rPr>
              <w:fldChar w:fldCharType="begin"/>
            </w:r>
            <w:r>
              <w:rPr>
                <w:noProof/>
                <w:webHidden/>
              </w:rPr>
              <w:instrText xml:space="preserve"> PAGEREF _Toc87348718 \h </w:instrText>
            </w:r>
            <w:r>
              <w:rPr>
                <w:noProof/>
                <w:webHidden/>
              </w:rPr>
            </w:r>
            <w:r>
              <w:rPr>
                <w:noProof/>
                <w:webHidden/>
              </w:rPr>
              <w:fldChar w:fldCharType="separate"/>
            </w:r>
            <w:r w:rsidR="00C32F51">
              <w:rPr>
                <w:noProof/>
                <w:webHidden/>
              </w:rPr>
              <w:t>20</w:t>
            </w:r>
            <w:r>
              <w:rPr>
                <w:noProof/>
                <w:webHidden/>
              </w:rPr>
              <w:fldChar w:fldCharType="end"/>
            </w:r>
          </w:hyperlink>
        </w:p>
        <w:p w14:paraId="6BC5C4AD" w14:textId="0BF0A35D"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19" w:history="1">
            <w:r w:rsidRPr="009E36F7">
              <w:rPr>
                <w:rStyle w:val="Hyperlink"/>
                <w:noProof/>
              </w:rPr>
              <w:t>4.3.1</w:t>
            </w:r>
            <w:r>
              <w:rPr>
                <w:rFonts w:asciiTheme="minorHAnsi" w:eastAsiaTheme="minorEastAsia" w:hAnsiTheme="minorHAnsi" w:cstheme="minorBidi"/>
                <w:noProof/>
                <w:sz w:val="22"/>
                <w:szCs w:val="22"/>
                <w:lang w:val="cs-CZ"/>
              </w:rPr>
              <w:tab/>
            </w:r>
            <w:r w:rsidRPr="009E36F7">
              <w:rPr>
                <w:rStyle w:val="Hyperlink"/>
                <w:noProof/>
              </w:rPr>
              <w:t>Podiel  poskytovateľov EETS na výbere mýta</w:t>
            </w:r>
            <w:r>
              <w:rPr>
                <w:noProof/>
                <w:webHidden/>
              </w:rPr>
              <w:tab/>
            </w:r>
            <w:r>
              <w:rPr>
                <w:noProof/>
                <w:webHidden/>
              </w:rPr>
              <w:fldChar w:fldCharType="begin"/>
            </w:r>
            <w:r>
              <w:rPr>
                <w:noProof/>
                <w:webHidden/>
              </w:rPr>
              <w:instrText xml:space="preserve"> PAGEREF _Toc87348719 \h </w:instrText>
            </w:r>
            <w:r>
              <w:rPr>
                <w:noProof/>
                <w:webHidden/>
              </w:rPr>
            </w:r>
            <w:r>
              <w:rPr>
                <w:noProof/>
                <w:webHidden/>
              </w:rPr>
              <w:fldChar w:fldCharType="separate"/>
            </w:r>
            <w:r w:rsidR="00C32F51">
              <w:rPr>
                <w:noProof/>
                <w:webHidden/>
              </w:rPr>
              <w:t>20</w:t>
            </w:r>
            <w:r>
              <w:rPr>
                <w:noProof/>
                <w:webHidden/>
              </w:rPr>
              <w:fldChar w:fldCharType="end"/>
            </w:r>
          </w:hyperlink>
        </w:p>
        <w:p w14:paraId="1D170E05" w14:textId="0D0F1016"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20" w:history="1">
            <w:r w:rsidRPr="009E36F7">
              <w:rPr>
                <w:rStyle w:val="Hyperlink"/>
                <w:noProof/>
              </w:rPr>
              <w:t>4.3.2</w:t>
            </w:r>
            <w:r>
              <w:rPr>
                <w:rFonts w:asciiTheme="minorHAnsi" w:eastAsiaTheme="minorEastAsia" w:hAnsiTheme="minorHAnsi" w:cstheme="minorBidi"/>
                <w:noProof/>
                <w:sz w:val="22"/>
                <w:szCs w:val="22"/>
                <w:lang w:val="cs-CZ"/>
              </w:rPr>
              <w:tab/>
            </w:r>
            <w:r w:rsidRPr="009E36F7">
              <w:rPr>
                <w:rStyle w:val="Hyperlink"/>
                <w:noProof/>
              </w:rPr>
              <w:t>Náklady</w:t>
            </w:r>
            <w:r>
              <w:rPr>
                <w:noProof/>
                <w:webHidden/>
              </w:rPr>
              <w:tab/>
            </w:r>
            <w:r>
              <w:rPr>
                <w:noProof/>
                <w:webHidden/>
              </w:rPr>
              <w:fldChar w:fldCharType="begin"/>
            </w:r>
            <w:r>
              <w:rPr>
                <w:noProof/>
                <w:webHidden/>
              </w:rPr>
              <w:instrText xml:space="preserve"> PAGEREF _Toc87348720 \h </w:instrText>
            </w:r>
            <w:r>
              <w:rPr>
                <w:noProof/>
                <w:webHidden/>
              </w:rPr>
            </w:r>
            <w:r>
              <w:rPr>
                <w:noProof/>
                <w:webHidden/>
              </w:rPr>
              <w:fldChar w:fldCharType="separate"/>
            </w:r>
            <w:r w:rsidR="00C32F51">
              <w:rPr>
                <w:noProof/>
                <w:webHidden/>
              </w:rPr>
              <w:t>21</w:t>
            </w:r>
            <w:r>
              <w:rPr>
                <w:noProof/>
                <w:webHidden/>
              </w:rPr>
              <w:fldChar w:fldCharType="end"/>
            </w:r>
          </w:hyperlink>
        </w:p>
        <w:p w14:paraId="1881A252" w14:textId="1DBCD3AB"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21" w:history="1">
            <w:r w:rsidRPr="009E36F7">
              <w:rPr>
                <w:rStyle w:val="Hyperlink"/>
                <w:noProof/>
              </w:rPr>
              <w:t>4.3.3</w:t>
            </w:r>
            <w:r>
              <w:rPr>
                <w:rFonts w:asciiTheme="minorHAnsi" w:eastAsiaTheme="minorEastAsia" w:hAnsiTheme="minorHAnsi" w:cstheme="minorBidi"/>
                <w:noProof/>
                <w:sz w:val="22"/>
                <w:szCs w:val="22"/>
                <w:lang w:val="cs-CZ"/>
              </w:rPr>
              <w:tab/>
            </w:r>
            <w:r w:rsidRPr="009E36F7">
              <w:rPr>
                <w:rStyle w:val="Hyperlink"/>
                <w:noProof/>
              </w:rPr>
              <w:t>Príjmy</w:t>
            </w:r>
            <w:r>
              <w:rPr>
                <w:noProof/>
                <w:webHidden/>
              </w:rPr>
              <w:tab/>
            </w:r>
            <w:r>
              <w:rPr>
                <w:noProof/>
                <w:webHidden/>
              </w:rPr>
              <w:fldChar w:fldCharType="begin"/>
            </w:r>
            <w:r>
              <w:rPr>
                <w:noProof/>
                <w:webHidden/>
              </w:rPr>
              <w:instrText xml:space="preserve"> PAGEREF _Toc87348721 \h </w:instrText>
            </w:r>
            <w:r>
              <w:rPr>
                <w:noProof/>
                <w:webHidden/>
              </w:rPr>
            </w:r>
            <w:r>
              <w:rPr>
                <w:noProof/>
                <w:webHidden/>
              </w:rPr>
              <w:fldChar w:fldCharType="separate"/>
            </w:r>
            <w:r w:rsidR="00C32F51">
              <w:rPr>
                <w:noProof/>
                <w:webHidden/>
              </w:rPr>
              <w:t>25</w:t>
            </w:r>
            <w:r>
              <w:rPr>
                <w:noProof/>
                <w:webHidden/>
              </w:rPr>
              <w:fldChar w:fldCharType="end"/>
            </w:r>
          </w:hyperlink>
        </w:p>
        <w:p w14:paraId="403CE8B9" w14:textId="57000A87"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22" w:history="1">
            <w:r w:rsidRPr="009E36F7">
              <w:rPr>
                <w:rStyle w:val="Hyperlink"/>
                <w:noProof/>
              </w:rPr>
              <w:t>4.3.4</w:t>
            </w:r>
            <w:r>
              <w:rPr>
                <w:rFonts w:asciiTheme="minorHAnsi" w:eastAsiaTheme="minorEastAsia" w:hAnsiTheme="minorHAnsi" w:cstheme="minorBidi"/>
                <w:noProof/>
                <w:sz w:val="22"/>
                <w:szCs w:val="22"/>
                <w:lang w:val="cs-CZ"/>
              </w:rPr>
              <w:tab/>
            </w:r>
            <w:r w:rsidRPr="009E36F7">
              <w:rPr>
                <w:rStyle w:val="Hyperlink"/>
                <w:noProof/>
              </w:rPr>
              <w:t>Celkové náklady životného cyklu projektu</w:t>
            </w:r>
            <w:r>
              <w:rPr>
                <w:noProof/>
                <w:webHidden/>
              </w:rPr>
              <w:tab/>
            </w:r>
            <w:r>
              <w:rPr>
                <w:noProof/>
                <w:webHidden/>
              </w:rPr>
              <w:fldChar w:fldCharType="begin"/>
            </w:r>
            <w:r>
              <w:rPr>
                <w:noProof/>
                <w:webHidden/>
              </w:rPr>
              <w:instrText xml:space="preserve"> PAGEREF _Toc87348722 \h </w:instrText>
            </w:r>
            <w:r>
              <w:rPr>
                <w:noProof/>
                <w:webHidden/>
              </w:rPr>
            </w:r>
            <w:r>
              <w:rPr>
                <w:noProof/>
                <w:webHidden/>
              </w:rPr>
              <w:fldChar w:fldCharType="separate"/>
            </w:r>
            <w:r w:rsidR="00C32F51">
              <w:rPr>
                <w:noProof/>
                <w:webHidden/>
              </w:rPr>
              <w:t>25</w:t>
            </w:r>
            <w:r>
              <w:rPr>
                <w:noProof/>
                <w:webHidden/>
              </w:rPr>
              <w:fldChar w:fldCharType="end"/>
            </w:r>
          </w:hyperlink>
        </w:p>
        <w:p w14:paraId="7BB8DF3D" w14:textId="2DEAB2E0"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23" w:history="1">
            <w:r w:rsidRPr="009E36F7">
              <w:rPr>
                <w:rStyle w:val="Hyperlink"/>
                <w:noProof/>
              </w:rPr>
              <w:t>4.4</w:t>
            </w:r>
            <w:r>
              <w:rPr>
                <w:rFonts w:asciiTheme="minorHAnsi" w:eastAsiaTheme="minorEastAsia" w:hAnsiTheme="minorHAnsi" w:cstheme="minorBidi"/>
                <w:noProof/>
                <w:sz w:val="22"/>
                <w:szCs w:val="22"/>
                <w:lang w:val="cs-CZ"/>
              </w:rPr>
              <w:tab/>
            </w:r>
            <w:r w:rsidRPr="009E36F7">
              <w:rPr>
                <w:rStyle w:val="Hyperlink"/>
                <w:noProof/>
              </w:rPr>
              <w:t>Preferovaný variant</w:t>
            </w:r>
            <w:r>
              <w:rPr>
                <w:noProof/>
                <w:webHidden/>
              </w:rPr>
              <w:tab/>
            </w:r>
            <w:r>
              <w:rPr>
                <w:noProof/>
                <w:webHidden/>
              </w:rPr>
              <w:fldChar w:fldCharType="begin"/>
            </w:r>
            <w:r>
              <w:rPr>
                <w:noProof/>
                <w:webHidden/>
              </w:rPr>
              <w:instrText xml:space="preserve"> PAGEREF _Toc87348723 \h </w:instrText>
            </w:r>
            <w:r>
              <w:rPr>
                <w:noProof/>
                <w:webHidden/>
              </w:rPr>
            </w:r>
            <w:r>
              <w:rPr>
                <w:noProof/>
                <w:webHidden/>
              </w:rPr>
              <w:fldChar w:fldCharType="separate"/>
            </w:r>
            <w:r w:rsidR="00C32F51">
              <w:rPr>
                <w:noProof/>
                <w:webHidden/>
              </w:rPr>
              <w:t>25</w:t>
            </w:r>
            <w:r>
              <w:rPr>
                <w:noProof/>
                <w:webHidden/>
              </w:rPr>
              <w:fldChar w:fldCharType="end"/>
            </w:r>
          </w:hyperlink>
        </w:p>
        <w:p w14:paraId="7E5925C9" w14:textId="7D788830"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24" w:history="1">
            <w:r w:rsidRPr="009E36F7">
              <w:rPr>
                <w:rStyle w:val="Hyperlink"/>
                <w:noProof/>
              </w:rPr>
              <w:t>5</w:t>
            </w:r>
            <w:r>
              <w:rPr>
                <w:rFonts w:asciiTheme="minorHAnsi" w:eastAsiaTheme="minorEastAsia" w:hAnsiTheme="minorHAnsi" w:cstheme="minorBidi"/>
                <w:noProof/>
                <w:sz w:val="22"/>
                <w:szCs w:val="22"/>
                <w:lang w:val="cs-CZ"/>
              </w:rPr>
              <w:tab/>
            </w:r>
            <w:r w:rsidRPr="009E36F7">
              <w:rPr>
                <w:rStyle w:val="Hyperlink"/>
                <w:noProof/>
              </w:rPr>
              <w:t>Prípravná trhová konzultácia</w:t>
            </w:r>
            <w:r>
              <w:rPr>
                <w:noProof/>
                <w:webHidden/>
              </w:rPr>
              <w:tab/>
            </w:r>
            <w:r>
              <w:rPr>
                <w:noProof/>
                <w:webHidden/>
              </w:rPr>
              <w:fldChar w:fldCharType="begin"/>
            </w:r>
            <w:r>
              <w:rPr>
                <w:noProof/>
                <w:webHidden/>
              </w:rPr>
              <w:instrText xml:space="preserve"> PAGEREF _Toc87348724 \h </w:instrText>
            </w:r>
            <w:r>
              <w:rPr>
                <w:noProof/>
                <w:webHidden/>
              </w:rPr>
            </w:r>
            <w:r>
              <w:rPr>
                <w:noProof/>
                <w:webHidden/>
              </w:rPr>
              <w:fldChar w:fldCharType="separate"/>
            </w:r>
            <w:r w:rsidR="00C32F51">
              <w:rPr>
                <w:noProof/>
                <w:webHidden/>
              </w:rPr>
              <w:t>27</w:t>
            </w:r>
            <w:r>
              <w:rPr>
                <w:noProof/>
                <w:webHidden/>
              </w:rPr>
              <w:fldChar w:fldCharType="end"/>
            </w:r>
          </w:hyperlink>
        </w:p>
        <w:p w14:paraId="3D0B8F53" w14:textId="662598D8"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25" w:history="1">
            <w:r w:rsidRPr="009E36F7">
              <w:rPr>
                <w:rStyle w:val="Hyperlink"/>
                <w:noProof/>
              </w:rPr>
              <w:t>5.1</w:t>
            </w:r>
            <w:r>
              <w:rPr>
                <w:rFonts w:asciiTheme="minorHAnsi" w:eastAsiaTheme="minorEastAsia" w:hAnsiTheme="minorHAnsi" w:cstheme="minorBidi"/>
                <w:noProof/>
                <w:sz w:val="22"/>
                <w:szCs w:val="22"/>
                <w:lang w:val="cs-CZ"/>
              </w:rPr>
              <w:tab/>
            </w:r>
            <w:r w:rsidRPr="009E36F7">
              <w:rPr>
                <w:rStyle w:val="Hyperlink"/>
                <w:noProof/>
              </w:rPr>
              <w:t>cenový návrh SkyToll</w:t>
            </w:r>
            <w:r>
              <w:rPr>
                <w:noProof/>
                <w:webHidden/>
              </w:rPr>
              <w:tab/>
            </w:r>
            <w:r>
              <w:rPr>
                <w:noProof/>
                <w:webHidden/>
              </w:rPr>
              <w:fldChar w:fldCharType="begin"/>
            </w:r>
            <w:r>
              <w:rPr>
                <w:noProof/>
                <w:webHidden/>
              </w:rPr>
              <w:instrText xml:space="preserve"> PAGEREF _Toc87348725 \h </w:instrText>
            </w:r>
            <w:r>
              <w:rPr>
                <w:noProof/>
                <w:webHidden/>
              </w:rPr>
            </w:r>
            <w:r>
              <w:rPr>
                <w:noProof/>
                <w:webHidden/>
              </w:rPr>
              <w:fldChar w:fldCharType="separate"/>
            </w:r>
            <w:r w:rsidR="00C32F51">
              <w:rPr>
                <w:noProof/>
                <w:webHidden/>
              </w:rPr>
              <w:t>27</w:t>
            </w:r>
            <w:r>
              <w:rPr>
                <w:noProof/>
                <w:webHidden/>
              </w:rPr>
              <w:fldChar w:fldCharType="end"/>
            </w:r>
          </w:hyperlink>
        </w:p>
        <w:p w14:paraId="7F862E01" w14:textId="1091D5D8"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26" w:history="1">
            <w:r w:rsidRPr="009E36F7">
              <w:rPr>
                <w:rStyle w:val="Hyperlink"/>
                <w:noProof/>
              </w:rPr>
              <w:t>5.2</w:t>
            </w:r>
            <w:r>
              <w:rPr>
                <w:rFonts w:asciiTheme="minorHAnsi" w:eastAsiaTheme="minorEastAsia" w:hAnsiTheme="minorHAnsi" w:cstheme="minorBidi"/>
                <w:noProof/>
                <w:sz w:val="22"/>
                <w:szCs w:val="22"/>
                <w:lang w:val="cs-CZ"/>
              </w:rPr>
              <w:tab/>
            </w:r>
            <w:r w:rsidRPr="009E36F7">
              <w:rPr>
                <w:rStyle w:val="Hyperlink"/>
                <w:noProof/>
              </w:rPr>
              <w:t>časový harmonogram</w:t>
            </w:r>
            <w:r>
              <w:rPr>
                <w:noProof/>
                <w:webHidden/>
              </w:rPr>
              <w:tab/>
            </w:r>
            <w:r>
              <w:rPr>
                <w:noProof/>
                <w:webHidden/>
              </w:rPr>
              <w:fldChar w:fldCharType="begin"/>
            </w:r>
            <w:r>
              <w:rPr>
                <w:noProof/>
                <w:webHidden/>
              </w:rPr>
              <w:instrText xml:space="preserve"> PAGEREF _Toc87348726 \h </w:instrText>
            </w:r>
            <w:r>
              <w:rPr>
                <w:noProof/>
                <w:webHidden/>
              </w:rPr>
            </w:r>
            <w:r>
              <w:rPr>
                <w:noProof/>
                <w:webHidden/>
              </w:rPr>
              <w:fldChar w:fldCharType="separate"/>
            </w:r>
            <w:r w:rsidR="00C32F51">
              <w:rPr>
                <w:noProof/>
                <w:webHidden/>
              </w:rPr>
              <w:t>27</w:t>
            </w:r>
            <w:r>
              <w:rPr>
                <w:noProof/>
                <w:webHidden/>
              </w:rPr>
              <w:fldChar w:fldCharType="end"/>
            </w:r>
          </w:hyperlink>
        </w:p>
        <w:p w14:paraId="599FC7CF" w14:textId="449ACB48"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27" w:history="1">
            <w:r w:rsidRPr="009E36F7">
              <w:rPr>
                <w:rStyle w:val="Hyperlink"/>
                <w:noProof/>
              </w:rPr>
              <w:t>6</w:t>
            </w:r>
            <w:r>
              <w:rPr>
                <w:rFonts w:asciiTheme="minorHAnsi" w:eastAsiaTheme="minorEastAsia" w:hAnsiTheme="minorHAnsi" w:cstheme="minorBidi"/>
                <w:noProof/>
                <w:sz w:val="22"/>
                <w:szCs w:val="22"/>
                <w:lang w:val="cs-CZ"/>
              </w:rPr>
              <w:tab/>
            </w:r>
            <w:r w:rsidRPr="009E36F7">
              <w:rPr>
                <w:rStyle w:val="Hyperlink"/>
                <w:noProof/>
              </w:rPr>
              <w:t>Popis budúceho stavu</w:t>
            </w:r>
            <w:r>
              <w:rPr>
                <w:noProof/>
                <w:webHidden/>
              </w:rPr>
              <w:tab/>
            </w:r>
            <w:r>
              <w:rPr>
                <w:noProof/>
                <w:webHidden/>
              </w:rPr>
              <w:fldChar w:fldCharType="begin"/>
            </w:r>
            <w:r>
              <w:rPr>
                <w:noProof/>
                <w:webHidden/>
              </w:rPr>
              <w:instrText xml:space="preserve"> PAGEREF _Toc87348727 \h </w:instrText>
            </w:r>
            <w:r>
              <w:rPr>
                <w:noProof/>
                <w:webHidden/>
              </w:rPr>
            </w:r>
            <w:r>
              <w:rPr>
                <w:noProof/>
                <w:webHidden/>
              </w:rPr>
              <w:fldChar w:fldCharType="separate"/>
            </w:r>
            <w:r w:rsidR="00C32F51">
              <w:rPr>
                <w:noProof/>
                <w:webHidden/>
              </w:rPr>
              <w:t>28</w:t>
            </w:r>
            <w:r>
              <w:rPr>
                <w:noProof/>
                <w:webHidden/>
              </w:rPr>
              <w:fldChar w:fldCharType="end"/>
            </w:r>
          </w:hyperlink>
        </w:p>
        <w:p w14:paraId="61C13C52" w14:textId="1018BA2A"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28" w:history="1">
            <w:r w:rsidRPr="009E36F7">
              <w:rPr>
                <w:rStyle w:val="Hyperlink"/>
                <w:noProof/>
              </w:rPr>
              <w:t>6.1</w:t>
            </w:r>
            <w:r>
              <w:rPr>
                <w:rFonts w:asciiTheme="minorHAnsi" w:eastAsiaTheme="minorEastAsia" w:hAnsiTheme="minorHAnsi" w:cstheme="minorBidi"/>
                <w:noProof/>
                <w:sz w:val="22"/>
                <w:szCs w:val="22"/>
                <w:lang w:val="cs-CZ"/>
              </w:rPr>
              <w:tab/>
            </w:r>
            <w:r w:rsidRPr="009E36F7">
              <w:rPr>
                <w:rStyle w:val="Hyperlink"/>
                <w:noProof/>
              </w:rPr>
              <w:t>Legislatíva</w:t>
            </w:r>
            <w:r>
              <w:rPr>
                <w:noProof/>
                <w:webHidden/>
              </w:rPr>
              <w:tab/>
            </w:r>
            <w:r>
              <w:rPr>
                <w:noProof/>
                <w:webHidden/>
              </w:rPr>
              <w:fldChar w:fldCharType="begin"/>
            </w:r>
            <w:r>
              <w:rPr>
                <w:noProof/>
                <w:webHidden/>
              </w:rPr>
              <w:instrText xml:space="preserve"> PAGEREF _Toc87348728 \h </w:instrText>
            </w:r>
            <w:r>
              <w:rPr>
                <w:noProof/>
                <w:webHidden/>
              </w:rPr>
            </w:r>
            <w:r>
              <w:rPr>
                <w:noProof/>
                <w:webHidden/>
              </w:rPr>
              <w:fldChar w:fldCharType="separate"/>
            </w:r>
            <w:r w:rsidR="00C32F51">
              <w:rPr>
                <w:noProof/>
                <w:webHidden/>
              </w:rPr>
              <w:t>28</w:t>
            </w:r>
            <w:r>
              <w:rPr>
                <w:noProof/>
                <w:webHidden/>
              </w:rPr>
              <w:fldChar w:fldCharType="end"/>
            </w:r>
          </w:hyperlink>
        </w:p>
        <w:p w14:paraId="4D33F3C0" w14:textId="6EC42ADB"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29" w:history="1">
            <w:r w:rsidRPr="009E36F7">
              <w:rPr>
                <w:rStyle w:val="Hyperlink"/>
                <w:noProof/>
              </w:rPr>
              <w:t>6.1.1</w:t>
            </w:r>
            <w:r>
              <w:rPr>
                <w:rFonts w:asciiTheme="minorHAnsi" w:eastAsiaTheme="minorEastAsia" w:hAnsiTheme="minorHAnsi" w:cstheme="minorBidi"/>
                <w:noProof/>
                <w:sz w:val="22"/>
                <w:szCs w:val="22"/>
                <w:lang w:val="cs-CZ"/>
              </w:rPr>
              <w:tab/>
            </w:r>
            <w:r w:rsidRPr="009E36F7">
              <w:rPr>
                <w:rStyle w:val="Hyperlink"/>
                <w:noProof/>
              </w:rPr>
              <w:t>Zákon o výbere mýta</w:t>
            </w:r>
            <w:r>
              <w:rPr>
                <w:noProof/>
                <w:webHidden/>
              </w:rPr>
              <w:tab/>
            </w:r>
            <w:r>
              <w:rPr>
                <w:noProof/>
                <w:webHidden/>
              </w:rPr>
              <w:fldChar w:fldCharType="begin"/>
            </w:r>
            <w:r>
              <w:rPr>
                <w:noProof/>
                <w:webHidden/>
              </w:rPr>
              <w:instrText xml:space="preserve"> PAGEREF _Toc87348729 \h </w:instrText>
            </w:r>
            <w:r>
              <w:rPr>
                <w:noProof/>
                <w:webHidden/>
              </w:rPr>
            </w:r>
            <w:r>
              <w:rPr>
                <w:noProof/>
                <w:webHidden/>
              </w:rPr>
              <w:fldChar w:fldCharType="separate"/>
            </w:r>
            <w:r w:rsidR="00C32F51">
              <w:rPr>
                <w:noProof/>
                <w:webHidden/>
              </w:rPr>
              <w:t>28</w:t>
            </w:r>
            <w:r>
              <w:rPr>
                <w:noProof/>
                <w:webHidden/>
              </w:rPr>
              <w:fldChar w:fldCharType="end"/>
            </w:r>
          </w:hyperlink>
        </w:p>
        <w:p w14:paraId="5D1ADE0C" w14:textId="6470D470"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30" w:history="1">
            <w:r w:rsidRPr="009E36F7">
              <w:rPr>
                <w:rStyle w:val="Hyperlink"/>
                <w:noProof/>
              </w:rPr>
              <w:t>6.2</w:t>
            </w:r>
            <w:r>
              <w:rPr>
                <w:rFonts w:asciiTheme="minorHAnsi" w:eastAsiaTheme="minorEastAsia" w:hAnsiTheme="minorHAnsi" w:cstheme="minorBidi"/>
                <w:noProof/>
                <w:sz w:val="22"/>
                <w:szCs w:val="22"/>
                <w:lang w:val="cs-CZ"/>
              </w:rPr>
              <w:tab/>
            </w:r>
            <w:r w:rsidRPr="009E36F7">
              <w:rPr>
                <w:rStyle w:val="Hyperlink"/>
                <w:noProof/>
              </w:rPr>
              <w:t>Architektúra</w:t>
            </w:r>
            <w:r>
              <w:rPr>
                <w:noProof/>
                <w:webHidden/>
              </w:rPr>
              <w:tab/>
            </w:r>
            <w:r>
              <w:rPr>
                <w:noProof/>
                <w:webHidden/>
              </w:rPr>
              <w:fldChar w:fldCharType="begin"/>
            </w:r>
            <w:r>
              <w:rPr>
                <w:noProof/>
                <w:webHidden/>
              </w:rPr>
              <w:instrText xml:space="preserve"> PAGEREF _Toc87348730 \h </w:instrText>
            </w:r>
            <w:r>
              <w:rPr>
                <w:noProof/>
                <w:webHidden/>
              </w:rPr>
            </w:r>
            <w:r>
              <w:rPr>
                <w:noProof/>
                <w:webHidden/>
              </w:rPr>
              <w:fldChar w:fldCharType="separate"/>
            </w:r>
            <w:r w:rsidR="00C32F51">
              <w:rPr>
                <w:noProof/>
                <w:webHidden/>
              </w:rPr>
              <w:t>28</w:t>
            </w:r>
            <w:r>
              <w:rPr>
                <w:noProof/>
                <w:webHidden/>
              </w:rPr>
              <w:fldChar w:fldCharType="end"/>
            </w:r>
          </w:hyperlink>
        </w:p>
        <w:p w14:paraId="6AC54F45" w14:textId="3210C370"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31" w:history="1">
            <w:r w:rsidRPr="009E36F7">
              <w:rPr>
                <w:rStyle w:val="Hyperlink"/>
                <w:noProof/>
              </w:rPr>
              <w:t>6.2.1</w:t>
            </w:r>
            <w:r>
              <w:rPr>
                <w:rFonts w:asciiTheme="minorHAnsi" w:eastAsiaTheme="minorEastAsia" w:hAnsiTheme="minorHAnsi" w:cstheme="minorBidi"/>
                <w:noProof/>
                <w:sz w:val="22"/>
                <w:szCs w:val="22"/>
                <w:lang w:val="cs-CZ"/>
              </w:rPr>
              <w:tab/>
            </w:r>
            <w:r w:rsidRPr="009E36F7">
              <w:rPr>
                <w:rStyle w:val="Hyperlink"/>
                <w:noProof/>
              </w:rPr>
              <w:t>Koncept</w:t>
            </w:r>
            <w:r>
              <w:rPr>
                <w:noProof/>
                <w:webHidden/>
              </w:rPr>
              <w:tab/>
            </w:r>
            <w:r>
              <w:rPr>
                <w:noProof/>
                <w:webHidden/>
              </w:rPr>
              <w:fldChar w:fldCharType="begin"/>
            </w:r>
            <w:r>
              <w:rPr>
                <w:noProof/>
                <w:webHidden/>
              </w:rPr>
              <w:instrText xml:space="preserve"> PAGEREF _Toc87348731 \h </w:instrText>
            </w:r>
            <w:r>
              <w:rPr>
                <w:noProof/>
                <w:webHidden/>
              </w:rPr>
            </w:r>
            <w:r>
              <w:rPr>
                <w:noProof/>
                <w:webHidden/>
              </w:rPr>
              <w:fldChar w:fldCharType="separate"/>
            </w:r>
            <w:r w:rsidR="00C32F51">
              <w:rPr>
                <w:noProof/>
                <w:webHidden/>
              </w:rPr>
              <w:t>28</w:t>
            </w:r>
            <w:r>
              <w:rPr>
                <w:noProof/>
                <w:webHidden/>
              </w:rPr>
              <w:fldChar w:fldCharType="end"/>
            </w:r>
          </w:hyperlink>
        </w:p>
        <w:p w14:paraId="2E7EECE6" w14:textId="051158BD"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32" w:history="1">
            <w:r w:rsidRPr="009E36F7">
              <w:rPr>
                <w:rStyle w:val="Hyperlink"/>
                <w:noProof/>
              </w:rPr>
              <w:t>6.2.2</w:t>
            </w:r>
            <w:r>
              <w:rPr>
                <w:rFonts w:asciiTheme="minorHAnsi" w:eastAsiaTheme="minorEastAsia" w:hAnsiTheme="minorHAnsi" w:cstheme="minorBidi"/>
                <w:noProof/>
                <w:sz w:val="22"/>
                <w:szCs w:val="22"/>
                <w:lang w:val="cs-CZ"/>
              </w:rPr>
              <w:tab/>
            </w:r>
            <w:r w:rsidRPr="009E36F7">
              <w:rPr>
                <w:rStyle w:val="Hyperlink"/>
                <w:noProof/>
              </w:rPr>
              <w:t>Architektúra</w:t>
            </w:r>
            <w:r>
              <w:rPr>
                <w:noProof/>
                <w:webHidden/>
              </w:rPr>
              <w:tab/>
            </w:r>
            <w:r>
              <w:rPr>
                <w:noProof/>
                <w:webHidden/>
              </w:rPr>
              <w:fldChar w:fldCharType="begin"/>
            </w:r>
            <w:r>
              <w:rPr>
                <w:noProof/>
                <w:webHidden/>
              </w:rPr>
              <w:instrText xml:space="preserve"> PAGEREF _Toc87348732 \h </w:instrText>
            </w:r>
            <w:r>
              <w:rPr>
                <w:noProof/>
                <w:webHidden/>
              </w:rPr>
            </w:r>
            <w:r>
              <w:rPr>
                <w:noProof/>
                <w:webHidden/>
              </w:rPr>
              <w:fldChar w:fldCharType="separate"/>
            </w:r>
            <w:r w:rsidR="00C32F51">
              <w:rPr>
                <w:noProof/>
                <w:webHidden/>
              </w:rPr>
              <w:t>29</w:t>
            </w:r>
            <w:r>
              <w:rPr>
                <w:noProof/>
                <w:webHidden/>
              </w:rPr>
              <w:fldChar w:fldCharType="end"/>
            </w:r>
          </w:hyperlink>
        </w:p>
        <w:p w14:paraId="5652FD82" w14:textId="01144F26"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33" w:history="1">
            <w:r w:rsidRPr="009E36F7">
              <w:rPr>
                <w:rStyle w:val="Hyperlink"/>
                <w:noProof/>
              </w:rPr>
              <w:t>6.3</w:t>
            </w:r>
            <w:r>
              <w:rPr>
                <w:rFonts w:asciiTheme="minorHAnsi" w:eastAsiaTheme="minorEastAsia" w:hAnsiTheme="minorHAnsi" w:cstheme="minorBidi"/>
                <w:noProof/>
                <w:sz w:val="22"/>
                <w:szCs w:val="22"/>
                <w:lang w:val="cs-CZ"/>
              </w:rPr>
              <w:tab/>
            </w:r>
            <w:r w:rsidRPr="009E36F7">
              <w:rPr>
                <w:rStyle w:val="Hyperlink"/>
                <w:noProof/>
              </w:rPr>
              <w:t>Prevádzka</w:t>
            </w:r>
            <w:r>
              <w:rPr>
                <w:noProof/>
                <w:webHidden/>
              </w:rPr>
              <w:tab/>
            </w:r>
            <w:r>
              <w:rPr>
                <w:noProof/>
                <w:webHidden/>
              </w:rPr>
              <w:fldChar w:fldCharType="begin"/>
            </w:r>
            <w:r>
              <w:rPr>
                <w:noProof/>
                <w:webHidden/>
              </w:rPr>
              <w:instrText xml:space="preserve"> PAGEREF _Toc87348733 \h </w:instrText>
            </w:r>
            <w:r>
              <w:rPr>
                <w:noProof/>
                <w:webHidden/>
              </w:rPr>
            </w:r>
            <w:r>
              <w:rPr>
                <w:noProof/>
                <w:webHidden/>
              </w:rPr>
              <w:fldChar w:fldCharType="separate"/>
            </w:r>
            <w:r w:rsidR="00C32F51">
              <w:rPr>
                <w:noProof/>
                <w:webHidden/>
              </w:rPr>
              <w:t>30</w:t>
            </w:r>
            <w:r>
              <w:rPr>
                <w:noProof/>
                <w:webHidden/>
              </w:rPr>
              <w:fldChar w:fldCharType="end"/>
            </w:r>
          </w:hyperlink>
        </w:p>
        <w:p w14:paraId="48D448C8" w14:textId="73E115A3"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34" w:history="1">
            <w:r w:rsidRPr="009E36F7">
              <w:rPr>
                <w:rStyle w:val="Hyperlink"/>
                <w:noProof/>
              </w:rPr>
              <w:t>6.4</w:t>
            </w:r>
            <w:r>
              <w:rPr>
                <w:rFonts w:asciiTheme="minorHAnsi" w:eastAsiaTheme="minorEastAsia" w:hAnsiTheme="minorHAnsi" w:cstheme="minorBidi"/>
                <w:noProof/>
                <w:sz w:val="22"/>
                <w:szCs w:val="22"/>
                <w:lang w:val="cs-CZ"/>
              </w:rPr>
              <w:tab/>
            </w:r>
            <w:r w:rsidRPr="009E36F7">
              <w:rPr>
                <w:rStyle w:val="Hyperlink"/>
                <w:noProof/>
              </w:rPr>
              <w:t>Implementácia a migrácia</w:t>
            </w:r>
            <w:r>
              <w:rPr>
                <w:noProof/>
                <w:webHidden/>
              </w:rPr>
              <w:tab/>
            </w:r>
            <w:r>
              <w:rPr>
                <w:noProof/>
                <w:webHidden/>
              </w:rPr>
              <w:fldChar w:fldCharType="begin"/>
            </w:r>
            <w:r>
              <w:rPr>
                <w:noProof/>
                <w:webHidden/>
              </w:rPr>
              <w:instrText xml:space="preserve"> PAGEREF _Toc87348734 \h </w:instrText>
            </w:r>
            <w:r>
              <w:rPr>
                <w:noProof/>
                <w:webHidden/>
              </w:rPr>
            </w:r>
            <w:r>
              <w:rPr>
                <w:noProof/>
                <w:webHidden/>
              </w:rPr>
              <w:fldChar w:fldCharType="separate"/>
            </w:r>
            <w:r w:rsidR="00C32F51">
              <w:rPr>
                <w:noProof/>
                <w:webHidden/>
              </w:rPr>
              <w:t>31</w:t>
            </w:r>
            <w:r>
              <w:rPr>
                <w:noProof/>
                <w:webHidden/>
              </w:rPr>
              <w:fldChar w:fldCharType="end"/>
            </w:r>
          </w:hyperlink>
        </w:p>
        <w:p w14:paraId="12F8F15B" w14:textId="57EBB759"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35" w:history="1">
            <w:r w:rsidRPr="009E36F7">
              <w:rPr>
                <w:rStyle w:val="Hyperlink"/>
                <w:noProof/>
              </w:rPr>
              <w:t>6.4.1</w:t>
            </w:r>
            <w:r>
              <w:rPr>
                <w:rFonts w:asciiTheme="minorHAnsi" w:eastAsiaTheme="minorEastAsia" w:hAnsiTheme="minorHAnsi" w:cstheme="minorBidi"/>
                <w:noProof/>
                <w:sz w:val="22"/>
                <w:szCs w:val="22"/>
                <w:lang w:val="cs-CZ"/>
              </w:rPr>
              <w:tab/>
            </w:r>
            <w:r w:rsidRPr="009E36F7">
              <w:rPr>
                <w:rStyle w:val="Hyperlink"/>
                <w:noProof/>
              </w:rPr>
              <w:t>Harmonogram projektu</w:t>
            </w:r>
            <w:r>
              <w:rPr>
                <w:noProof/>
                <w:webHidden/>
              </w:rPr>
              <w:tab/>
            </w:r>
            <w:r>
              <w:rPr>
                <w:noProof/>
                <w:webHidden/>
              </w:rPr>
              <w:fldChar w:fldCharType="begin"/>
            </w:r>
            <w:r>
              <w:rPr>
                <w:noProof/>
                <w:webHidden/>
              </w:rPr>
              <w:instrText xml:space="preserve"> PAGEREF _Toc87348735 \h </w:instrText>
            </w:r>
            <w:r>
              <w:rPr>
                <w:noProof/>
                <w:webHidden/>
              </w:rPr>
            </w:r>
            <w:r>
              <w:rPr>
                <w:noProof/>
                <w:webHidden/>
              </w:rPr>
              <w:fldChar w:fldCharType="separate"/>
            </w:r>
            <w:r w:rsidR="00C32F51">
              <w:rPr>
                <w:noProof/>
                <w:webHidden/>
              </w:rPr>
              <w:t>31</w:t>
            </w:r>
            <w:r>
              <w:rPr>
                <w:noProof/>
                <w:webHidden/>
              </w:rPr>
              <w:fldChar w:fldCharType="end"/>
            </w:r>
          </w:hyperlink>
        </w:p>
        <w:p w14:paraId="734FFB95" w14:textId="723CF69B"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36" w:history="1">
            <w:r w:rsidRPr="009E36F7">
              <w:rPr>
                <w:rStyle w:val="Hyperlink"/>
                <w:noProof/>
              </w:rPr>
              <w:t>6.4.2</w:t>
            </w:r>
            <w:r>
              <w:rPr>
                <w:rFonts w:asciiTheme="minorHAnsi" w:eastAsiaTheme="minorEastAsia" w:hAnsiTheme="minorHAnsi" w:cstheme="minorBidi"/>
                <w:noProof/>
                <w:sz w:val="22"/>
                <w:szCs w:val="22"/>
                <w:lang w:val="cs-CZ"/>
              </w:rPr>
              <w:tab/>
            </w:r>
            <w:r w:rsidRPr="009E36F7">
              <w:rPr>
                <w:rStyle w:val="Hyperlink"/>
                <w:noProof/>
              </w:rPr>
              <w:t>Riziká projektu</w:t>
            </w:r>
            <w:r>
              <w:rPr>
                <w:noProof/>
                <w:webHidden/>
              </w:rPr>
              <w:tab/>
            </w:r>
            <w:r>
              <w:rPr>
                <w:noProof/>
                <w:webHidden/>
              </w:rPr>
              <w:fldChar w:fldCharType="begin"/>
            </w:r>
            <w:r>
              <w:rPr>
                <w:noProof/>
                <w:webHidden/>
              </w:rPr>
              <w:instrText xml:space="preserve"> PAGEREF _Toc87348736 \h </w:instrText>
            </w:r>
            <w:r>
              <w:rPr>
                <w:noProof/>
                <w:webHidden/>
              </w:rPr>
            </w:r>
            <w:r>
              <w:rPr>
                <w:noProof/>
                <w:webHidden/>
              </w:rPr>
              <w:fldChar w:fldCharType="separate"/>
            </w:r>
            <w:r w:rsidR="00C32F51">
              <w:rPr>
                <w:noProof/>
                <w:webHidden/>
              </w:rPr>
              <w:t>31</w:t>
            </w:r>
            <w:r>
              <w:rPr>
                <w:noProof/>
                <w:webHidden/>
              </w:rPr>
              <w:fldChar w:fldCharType="end"/>
            </w:r>
          </w:hyperlink>
        </w:p>
        <w:p w14:paraId="5E7386ED" w14:textId="120531EF"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37" w:history="1">
            <w:r w:rsidRPr="009E36F7">
              <w:rPr>
                <w:rStyle w:val="Hyperlink"/>
                <w:noProof/>
              </w:rPr>
              <w:t>7</w:t>
            </w:r>
            <w:r>
              <w:rPr>
                <w:rFonts w:asciiTheme="minorHAnsi" w:eastAsiaTheme="minorEastAsia" w:hAnsiTheme="minorHAnsi" w:cstheme="minorBidi"/>
                <w:noProof/>
                <w:sz w:val="22"/>
                <w:szCs w:val="22"/>
                <w:lang w:val="cs-CZ"/>
              </w:rPr>
              <w:tab/>
            </w:r>
            <w:r w:rsidRPr="009E36F7">
              <w:rPr>
                <w:rStyle w:val="Hyperlink"/>
                <w:noProof/>
              </w:rPr>
              <w:t>Analýza nákladov a prínosov</w:t>
            </w:r>
            <w:r>
              <w:rPr>
                <w:noProof/>
                <w:webHidden/>
              </w:rPr>
              <w:tab/>
            </w:r>
            <w:r>
              <w:rPr>
                <w:noProof/>
                <w:webHidden/>
              </w:rPr>
              <w:fldChar w:fldCharType="begin"/>
            </w:r>
            <w:r>
              <w:rPr>
                <w:noProof/>
                <w:webHidden/>
              </w:rPr>
              <w:instrText xml:space="preserve"> PAGEREF _Toc87348737 \h </w:instrText>
            </w:r>
            <w:r>
              <w:rPr>
                <w:noProof/>
                <w:webHidden/>
              </w:rPr>
            </w:r>
            <w:r>
              <w:rPr>
                <w:noProof/>
                <w:webHidden/>
              </w:rPr>
              <w:fldChar w:fldCharType="separate"/>
            </w:r>
            <w:r w:rsidR="00C32F51">
              <w:rPr>
                <w:noProof/>
                <w:webHidden/>
              </w:rPr>
              <w:t>33</w:t>
            </w:r>
            <w:r>
              <w:rPr>
                <w:noProof/>
                <w:webHidden/>
              </w:rPr>
              <w:fldChar w:fldCharType="end"/>
            </w:r>
          </w:hyperlink>
        </w:p>
        <w:p w14:paraId="110C1F6C" w14:textId="3A2EE188"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38" w:history="1">
            <w:r w:rsidRPr="009E36F7">
              <w:rPr>
                <w:rStyle w:val="Hyperlink"/>
                <w:noProof/>
              </w:rPr>
              <w:t>7.1</w:t>
            </w:r>
            <w:r>
              <w:rPr>
                <w:rFonts w:asciiTheme="minorHAnsi" w:eastAsiaTheme="minorEastAsia" w:hAnsiTheme="minorHAnsi" w:cstheme="minorBidi"/>
                <w:noProof/>
                <w:sz w:val="22"/>
                <w:szCs w:val="22"/>
                <w:lang w:val="cs-CZ"/>
              </w:rPr>
              <w:tab/>
            </w:r>
            <w:r w:rsidRPr="009E36F7">
              <w:rPr>
                <w:rStyle w:val="Hyperlink"/>
                <w:noProof/>
              </w:rPr>
              <w:t>Dvojúrovňový prístup k spracovaní CBA</w:t>
            </w:r>
            <w:r>
              <w:rPr>
                <w:noProof/>
                <w:webHidden/>
              </w:rPr>
              <w:tab/>
            </w:r>
            <w:r>
              <w:rPr>
                <w:noProof/>
                <w:webHidden/>
              </w:rPr>
              <w:fldChar w:fldCharType="begin"/>
            </w:r>
            <w:r>
              <w:rPr>
                <w:noProof/>
                <w:webHidden/>
              </w:rPr>
              <w:instrText xml:space="preserve"> PAGEREF _Toc87348738 \h </w:instrText>
            </w:r>
            <w:r>
              <w:rPr>
                <w:noProof/>
                <w:webHidden/>
              </w:rPr>
            </w:r>
            <w:r>
              <w:rPr>
                <w:noProof/>
                <w:webHidden/>
              </w:rPr>
              <w:fldChar w:fldCharType="separate"/>
            </w:r>
            <w:r w:rsidR="00C32F51">
              <w:rPr>
                <w:noProof/>
                <w:webHidden/>
              </w:rPr>
              <w:t>33</w:t>
            </w:r>
            <w:r>
              <w:rPr>
                <w:noProof/>
                <w:webHidden/>
              </w:rPr>
              <w:fldChar w:fldCharType="end"/>
            </w:r>
          </w:hyperlink>
        </w:p>
        <w:p w14:paraId="191E263D" w14:textId="0F4F1521"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39" w:history="1">
            <w:r w:rsidRPr="009E36F7">
              <w:rPr>
                <w:rStyle w:val="Hyperlink"/>
                <w:noProof/>
              </w:rPr>
              <w:t>7.2</w:t>
            </w:r>
            <w:r>
              <w:rPr>
                <w:rFonts w:asciiTheme="minorHAnsi" w:eastAsiaTheme="minorEastAsia" w:hAnsiTheme="minorHAnsi" w:cstheme="minorBidi"/>
                <w:noProof/>
                <w:sz w:val="22"/>
                <w:szCs w:val="22"/>
                <w:lang w:val="cs-CZ"/>
              </w:rPr>
              <w:tab/>
            </w:r>
            <w:r w:rsidRPr="009E36F7">
              <w:rPr>
                <w:rStyle w:val="Hyperlink"/>
                <w:noProof/>
              </w:rPr>
              <w:t>Celkové náklady na vlastníctvo IKT systému „Rozhranie EETS“</w:t>
            </w:r>
            <w:r>
              <w:rPr>
                <w:noProof/>
                <w:webHidden/>
              </w:rPr>
              <w:tab/>
            </w:r>
            <w:r>
              <w:rPr>
                <w:noProof/>
                <w:webHidden/>
              </w:rPr>
              <w:fldChar w:fldCharType="begin"/>
            </w:r>
            <w:r>
              <w:rPr>
                <w:noProof/>
                <w:webHidden/>
              </w:rPr>
              <w:instrText xml:space="preserve"> PAGEREF _Toc87348739 \h </w:instrText>
            </w:r>
            <w:r>
              <w:rPr>
                <w:noProof/>
                <w:webHidden/>
              </w:rPr>
            </w:r>
            <w:r>
              <w:rPr>
                <w:noProof/>
                <w:webHidden/>
              </w:rPr>
              <w:fldChar w:fldCharType="separate"/>
            </w:r>
            <w:r w:rsidR="00C32F51">
              <w:rPr>
                <w:noProof/>
                <w:webHidden/>
              </w:rPr>
              <w:t>33</w:t>
            </w:r>
            <w:r>
              <w:rPr>
                <w:noProof/>
                <w:webHidden/>
              </w:rPr>
              <w:fldChar w:fldCharType="end"/>
            </w:r>
          </w:hyperlink>
        </w:p>
        <w:p w14:paraId="34ADA7E2" w14:textId="245B7559"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0" w:history="1">
            <w:r w:rsidRPr="009E36F7">
              <w:rPr>
                <w:rStyle w:val="Hyperlink"/>
                <w:noProof/>
              </w:rPr>
              <w:t>7.2.1</w:t>
            </w:r>
            <w:r>
              <w:rPr>
                <w:rFonts w:asciiTheme="minorHAnsi" w:eastAsiaTheme="minorEastAsia" w:hAnsiTheme="minorHAnsi" w:cstheme="minorBidi"/>
                <w:noProof/>
                <w:sz w:val="22"/>
                <w:szCs w:val="22"/>
                <w:lang w:val="cs-CZ"/>
              </w:rPr>
              <w:tab/>
            </w:r>
            <w:r w:rsidRPr="009E36F7">
              <w:rPr>
                <w:rStyle w:val="Hyperlink"/>
                <w:noProof/>
              </w:rPr>
              <w:t>Celkové náklady na vlastníctvo</w:t>
            </w:r>
            <w:r>
              <w:rPr>
                <w:noProof/>
                <w:webHidden/>
              </w:rPr>
              <w:tab/>
            </w:r>
            <w:r>
              <w:rPr>
                <w:noProof/>
                <w:webHidden/>
              </w:rPr>
              <w:fldChar w:fldCharType="begin"/>
            </w:r>
            <w:r>
              <w:rPr>
                <w:noProof/>
                <w:webHidden/>
              </w:rPr>
              <w:instrText xml:space="preserve"> PAGEREF _Toc87348740 \h </w:instrText>
            </w:r>
            <w:r>
              <w:rPr>
                <w:noProof/>
                <w:webHidden/>
              </w:rPr>
            </w:r>
            <w:r>
              <w:rPr>
                <w:noProof/>
                <w:webHidden/>
              </w:rPr>
              <w:fldChar w:fldCharType="separate"/>
            </w:r>
            <w:r w:rsidR="00C32F51">
              <w:rPr>
                <w:noProof/>
                <w:webHidden/>
              </w:rPr>
              <w:t>33</w:t>
            </w:r>
            <w:r>
              <w:rPr>
                <w:noProof/>
                <w:webHidden/>
              </w:rPr>
              <w:fldChar w:fldCharType="end"/>
            </w:r>
          </w:hyperlink>
        </w:p>
        <w:p w14:paraId="050E6C03" w14:textId="319F0567"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1" w:history="1">
            <w:r w:rsidRPr="009E36F7">
              <w:rPr>
                <w:rStyle w:val="Hyperlink"/>
                <w:noProof/>
              </w:rPr>
              <w:t>7.2.2</w:t>
            </w:r>
            <w:r>
              <w:rPr>
                <w:rFonts w:asciiTheme="minorHAnsi" w:eastAsiaTheme="minorEastAsia" w:hAnsiTheme="minorHAnsi" w:cstheme="minorBidi"/>
                <w:noProof/>
                <w:sz w:val="22"/>
                <w:szCs w:val="22"/>
                <w:lang w:val="cs-CZ"/>
              </w:rPr>
              <w:tab/>
            </w:r>
            <w:r w:rsidRPr="009E36F7">
              <w:rPr>
                <w:rStyle w:val="Hyperlink"/>
                <w:noProof/>
              </w:rPr>
              <w:t>Referenčné obdobie</w:t>
            </w:r>
            <w:r>
              <w:rPr>
                <w:noProof/>
                <w:webHidden/>
              </w:rPr>
              <w:tab/>
            </w:r>
            <w:r>
              <w:rPr>
                <w:noProof/>
                <w:webHidden/>
              </w:rPr>
              <w:fldChar w:fldCharType="begin"/>
            </w:r>
            <w:r>
              <w:rPr>
                <w:noProof/>
                <w:webHidden/>
              </w:rPr>
              <w:instrText xml:space="preserve"> PAGEREF _Toc87348741 \h </w:instrText>
            </w:r>
            <w:r>
              <w:rPr>
                <w:noProof/>
                <w:webHidden/>
              </w:rPr>
            </w:r>
            <w:r>
              <w:rPr>
                <w:noProof/>
                <w:webHidden/>
              </w:rPr>
              <w:fldChar w:fldCharType="separate"/>
            </w:r>
            <w:r w:rsidR="00C32F51">
              <w:rPr>
                <w:noProof/>
                <w:webHidden/>
              </w:rPr>
              <w:t>34</w:t>
            </w:r>
            <w:r>
              <w:rPr>
                <w:noProof/>
                <w:webHidden/>
              </w:rPr>
              <w:fldChar w:fldCharType="end"/>
            </w:r>
          </w:hyperlink>
        </w:p>
        <w:p w14:paraId="15525994" w14:textId="3A585A58"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2" w:history="1">
            <w:r w:rsidRPr="009E36F7">
              <w:rPr>
                <w:rStyle w:val="Hyperlink"/>
                <w:noProof/>
              </w:rPr>
              <w:t>7.2.3</w:t>
            </w:r>
            <w:r>
              <w:rPr>
                <w:rFonts w:asciiTheme="minorHAnsi" w:eastAsiaTheme="minorEastAsia" w:hAnsiTheme="minorHAnsi" w:cstheme="minorBidi"/>
                <w:noProof/>
                <w:sz w:val="22"/>
                <w:szCs w:val="22"/>
                <w:lang w:val="cs-CZ"/>
              </w:rPr>
              <w:tab/>
            </w:r>
            <w:r w:rsidRPr="009E36F7">
              <w:rPr>
                <w:rStyle w:val="Hyperlink"/>
                <w:noProof/>
              </w:rPr>
              <w:t>Závery analýzy celkových nákladov na vlastníctvo IKT subsystému Rozhranie EETS</w:t>
            </w:r>
            <w:r>
              <w:rPr>
                <w:noProof/>
                <w:webHidden/>
              </w:rPr>
              <w:tab/>
            </w:r>
            <w:r>
              <w:rPr>
                <w:noProof/>
                <w:webHidden/>
              </w:rPr>
              <w:fldChar w:fldCharType="begin"/>
            </w:r>
            <w:r>
              <w:rPr>
                <w:noProof/>
                <w:webHidden/>
              </w:rPr>
              <w:instrText xml:space="preserve"> PAGEREF _Toc87348742 \h </w:instrText>
            </w:r>
            <w:r>
              <w:rPr>
                <w:noProof/>
                <w:webHidden/>
              </w:rPr>
            </w:r>
            <w:r>
              <w:rPr>
                <w:noProof/>
                <w:webHidden/>
              </w:rPr>
              <w:fldChar w:fldCharType="separate"/>
            </w:r>
            <w:r w:rsidR="00C32F51">
              <w:rPr>
                <w:noProof/>
                <w:webHidden/>
              </w:rPr>
              <w:t>35</w:t>
            </w:r>
            <w:r>
              <w:rPr>
                <w:noProof/>
                <w:webHidden/>
              </w:rPr>
              <w:fldChar w:fldCharType="end"/>
            </w:r>
          </w:hyperlink>
        </w:p>
        <w:p w14:paraId="134335DF" w14:textId="01577F69"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43" w:history="1">
            <w:r w:rsidRPr="009E36F7">
              <w:rPr>
                <w:rStyle w:val="Hyperlink"/>
                <w:noProof/>
              </w:rPr>
              <w:t>8</w:t>
            </w:r>
            <w:r>
              <w:rPr>
                <w:rFonts w:asciiTheme="minorHAnsi" w:eastAsiaTheme="minorEastAsia" w:hAnsiTheme="minorHAnsi" w:cstheme="minorBidi"/>
                <w:noProof/>
                <w:sz w:val="22"/>
                <w:szCs w:val="22"/>
                <w:lang w:val="cs-CZ"/>
              </w:rPr>
              <w:tab/>
            </w:r>
            <w:r w:rsidRPr="009E36F7">
              <w:rPr>
                <w:rStyle w:val="Hyperlink"/>
                <w:noProof/>
              </w:rPr>
              <w:t>Finančná analýza komplexného projektu</w:t>
            </w:r>
            <w:r>
              <w:rPr>
                <w:noProof/>
                <w:webHidden/>
              </w:rPr>
              <w:tab/>
            </w:r>
            <w:r>
              <w:rPr>
                <w:noProof/>
                <w:webHidden/>
              </w:rPr>
              <w:fldChar w:fldCharType="begin"/>
            </w:r>
            <w:r>
              <w:rPr>
                <w:noProof/>
                <w:webHidden/>
              </w:rPr>
              <w:instrText xml:space="preserve"> PAGEREF _Toc87348743 \h </w:instrText>
            </w:r>
            <w:r>
              <w:rPr>
                <w:noProof/>
                <w:webHidden/>
              </w:rPr>
            </w:r>
            <w:r>
              <w:rPr>
                <w:noProof/>
                <w:webHidden/>
              </w:rPr>
              <w:fldChar w:fldCharType="separate"/>
            </w:r>
            <w:r w:rsidR="00C32F51">
              <w:rPr>
                <w:noProof/>
                <w:webHidden/>
              </w:rPr>
              <w:t>36</w:t>
            </w:r>
            <w:r>
              <w:rPr>
                <w:noProof/>
                <w:webHidden/>
              </w:rPr>
              <w:fldChar w:fldCharType="end"/>
            </w:r>
          </w:hyperlink>
        </w:p>
        <w:p w14:paraId="14765AD8" w14:textId="123548C9"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44" w:history="1">
            <w:r w:rsidRPr="009E36F7">
              <w:rPr>
                <w:rStyle w:val="Hyperlink"/>
                <w:noProof/>
              </w:rPr>
              <w:t>8.1</w:t>
            </w:r>
            <w:r>
              <w:rPr>
                <w:rFonts w:asciiTheme="minorHAnsi" w:eastAsiaTheme="minorEastAsia" w:hAnsiTheme="minorHAnsi" w:cstheme="minorBidi"/>
                <w:noProof/>
                <w:sz w:val="22"/>
                <w:szCs w:val="22"/>
                <w:lang w:val="cs-CZ"/>
              </w:rPr>
              <w:tab/>
            </w:r>
            <w:r w:rsidRPr="009E36F7">
              <w:rPr>
                <w:rStyle w:val="Hyperlink"/>
                <w:noProof/>
              </w:rPr>
              <w:t>Metodika finančnej analýzy</w:t>
            </w:r>
            <w:r>
              <w:rPr>
                <w:noProof/>
                <w:webHidden/>
              </w:rPr>
              <w:tab/>
            </w:r>
            <w:r>
              <w:rPr>
                <w:noProof/>
                <w:webHidden/>
              </w:rPr>
              <w:fldChar w:fldCharType="begin"/>
            </w:r>
            <w:r>
              <w:rPr>
                <w:noProof/>
                <w:webHidden/>
              </w:rPr>
              <w:instrText xml:space="preserve"> PAGEREF _Toc87348744 \h </w:instrText>
            </w:r>
            <w:r>
              <w:rPr>
                <w:noProof/>
                <w:webHidden/>
              </w:rPr>
            </w:r>
            <w:r>
              <w:rPr>
                <w:noProof/>
                <w:webHidden/>
              </w:rPr>
              <w:fldChar w:fldCharType="separate"/>
            </w:r>
            <w:r w:rsidR="00C32F51">
              <w:rPr>
                <w:noProof/>
                <w:webHidden/>
              </w:rPr>
              <w:t>36</w:t>
            </w:r>
            <w:r>
              <w:rPr>
                <w:noProof/>
                <w:webHidden/>
              </w:rPr>
              <w:fldChar w:fldCharType="end"/>
            </w:r>
          </w:hyperlink>
        </w:p>
        <w:p w14:paraId="1B87D81A" w14:textId="30D0251D"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45" w:history="1">
            <w:r w:rsidRPr="009E36F7">
              <w:rPr>
                <w:rStyle w:val="Hyperlink"/>
                <w:noProof/>
              </w:rPr>
              <w:t>8.2</w:t>
            </w:r>
            <w:r>
              <w:rPr>
                <w:rFonts w:asciiTheme="minorHAnsi" w:eastAsiaTheme="minorEastAsia" w:hAnsiTheme="minorHAnsi" w:cstheme="minorBidi"/>
                <w:noProof/>
                <w:sz w:val="22"/>
                <w:szCs w:val="22"/>
                <w:lang w:val="cs-CZ"/>
              </w:rPr>
              <w:tab/>
            </w:r>
            <w:r w:rsidRPr="009E36F7">
              <w:rPr>
                <w:rStyle w:val="Hyperlink"/>
                <w:noProof/>
              </w:rPr>
              <w:t>Finančná analýza – Variant 1</w:t>
            </w:r>
            <w:r>
              <w:rPr>
                <w:noProof/>
                <w:webHidden/>
              </w:rPr>
              <w:tab/>
            </w:r>
            <w:r>
              <w:rPr>
                <w:noProof/>
                <w:webHidden/>
              </w:rPr>
              <w:fldChar w:fldCharType="begin"/>
            </w:r>
            <w:r>
              <w:rPr>
                <w:noProof/>
                <w:webHidden/>
              </w:rPr>
              <w:instrText xml:space="preserve"> PAGEREF _Toc87348745 \h </w:instrText>
            </w:r>
            <w:r>
              <w:rPr>
                <w:noProof/>
                <w:webHidden/>
              </w:rPr>
            </w:r>
            <w:r>
              <w:rPr>
                <w:noProof/>
                <w:webHidden/>
              </w:rPr>
              <w:fldChar w:fldCharType="separate"/>
            </w:r>
            <w:r w:rsidR="00C32F51">
              <w:rPr>
                <w:noProof/>
                <w:webHidden/>
              </w:rPr>
              <w:t>37</w:t>
            </w:r>
            <w:r>
              <w:rPr>
                <w:noProof/>
                <w:webHidden/>
              </w:rPr>
              <w:fldChar w:fldCharType="end"/>
            </w:r>
          </w:hyperlink>
        </w:p>
        <w:p w14:paraId="457A29CC" w14:textId="156C53AB"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6" w:history="1">
            <w:r w:rsidRPr="009E36F7">
              <w:rPr>
                <w:rStyle w:val="Hyperlink"/>
                <w:noProof/>
              </w:rPr>
              <w:t>8.2.1</w:t>
            </w:r>
            <w:r>
              <w:rPr>
                <w:rFonts w:asciiTheme="minorHAnsi" w:eastAsiaTheme="minorEastAsia" w:hAnsiTheme="minorHAnsi" w:cstheme="minorBidi"/>
                <w:noProof/>
                <w:sz w:val="22"/>
                <w:szCs w:val="22"/>
                <w:lang w:val="cs-CZ"/>
              </w:rPr>
              <w:tab/>
            </w:r>
            <w:r w:rsidRPr="009E36F7">
              <w:rPr>
                <w:rStyle w:val="Hyperlink"/>
                <w:noProof/>
              </w:rPr>
              <w:t>Výdavky</w:t>
            </w:r>
            <w:r>
              <w:rPr>
                <w:noProof/>
                <w:webHidden/>
              </w:rPr>
              <w:tab/>
            </w:r>
            <w:r>
              <w:rPr>
                <w:noProof/>
                <w:webHidden/>
              </w:rPr>
              <w:fldChar w:fldCharType="begin"/>
            </w:r>
            <w:r>
              <w:rPr>
                <w:noProof/>
                <w:webHidden/>
              </w:rPr>
              <w:instrText xml:space="preserve"> PAGEREF _Toc87348746 \h </w:instrText>
            </w:r>
            <w:r>
              <w:rPr>
                <w:noProof/>
                <w:webHidden/>
              </w:rPr>
            </w:r>
            <w:r>
              <w:rPr>
                <w:noProof/>
                <w:webHidden/>
              </w:rPr>
              <w:fldChar w:fldCharType="separate"/>
            </w:r>
            <w:r w:rsidR="00C32F51">
              <w:rPr>
                <w:noProof/>
                <w:webHidden/>
              </w:rPr>
              <w:t>37</w:t>
            </w:r>
            <w:r>
              <w:rPr>
                <w:noProof/>
                <w:webHidden/>
              </w:rPr>
              <w:fldChar w:fldCharType="end"/>
            </w:r>
          </w:hyperlink>
        </w:p>
        <w:p w14:paraId="7AA25477" w14:textId="63B58EB9"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7" w:history="1">
            <w:r w:rsidRPr="009E36F7">
              <w:rPr>
                <w:rStyle w:val="Hyperlink"/>
                <w:noProof/>
              </w:rPr>
              <w:t>8.2.2</w:t>
            </w:r>
            <w:r>
              <w:rPr>
                <w:rFonts w:asciiTheme="minorHAnsi" w:eastAsiaTheme="minorEastAsia" w:hAnsiTheme="minorHAnsi" w:cstheme="minorBidi"/>
                <w:noProof/>
                <w:sz w:val="22"/>
                <w:szCs w:val="22"/>
                <w:lang w:val="cs-CZ"/>
              </w:rPr>
              <w:tab/>
            </w:r>
            <w:r w:rsidRPr="009E36F7">
              <w:rPr>
                <w:rStyle w:val="Hyperlink"/>
                <w:noProof/>
              </w:rPr>
              <w:t>Príjmy</w:t>
            </w:r>
            <w:r>
              <w:rPr>
                <w:noProof/>
                <w:webHidden/>
              </w:rPr>
              <w:tab/>
            </w:r>
            <w:r>
              <w:rPr>
                <w:noProof/>
                <w:webHidden/>
              </w:rPr>
              <w:fldChar w:fldCharType="begin"/>
            </w:r>
            <w:r>
              <w:rPr>
                <w:noProof/>
                <w:webHidden/>
              </w:rPr>
              <w:instrText xml:space="preserve"> PAGEREF _Toc87348747 \h </w:instrText>
            </w:r>
            <w:r>
              <w:rPr>
                <w:noProof/>
                <w:webHidden/>
              </w:rPr>
            </w:r>
            <w:r>
              <w:rPr>
                <w:noProof/>
                <w:webHidden/>
              </w:rPr>
              <w:fldChar w:fldCharType="separate"/>
            </w:r>
            <w:r w:rsidR="00C32F51">
              <w:rPr>
                <w:noProof/>
                <w:webHidden/>
              </w:rPr>
              <w:t>38</w:t>
            </w:r>
            <w:r>
              <w:rPr>
                <w:noProof/>
                <w:webHidden/>
              </w:rPr>
              <w:fldChar w:fldCharType="end"/>
            </w:r>
          </w:hyperlink>
        </w:p>
        <w:p w14:paraId="408F65DF" w14:textId="45C6AE99"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8" w:history="1">
            <w:r w:rsidRPr="009E36F7">
              <w:rPr>
                <w:rStyle w:val="Hyperlink"/>
                <w:noProof/>
              </w:rPr>
              <w:t>8.2.3</w:t>
            </w:r>
            <w:r>
              <w:rPr>
                <w:rFonts w:asciiTheme="minorHAnsi" w:eastAsiaTheme="minorEastAsia" w:hAnsiTheme="minorHAnsi" w:cstheme="minorBidi"/>
                <w:noProof/>
                <w:sz w:val="22"/>
                <w:szCs w:val="22"/>
                <w:lang w:val="cs-CZ"/>
              </w:rPr>
              <w:tab/>
            </w:r>
            <w:r w:rsidRPr="009E36F7">
              <w:rPr>
                <w:rStyle w:val="Hyperlink"/>
                <w:noProof/>
              </w:rPr>
              <w:t>Financovanie</w:t>
            </w:r>
            <w:r>
              <w:rPr>
                <w:noProof/>
                <w:webHidden/>
              </w:rPr>
              <w:tab/>
            </w:r>
            <w:r>
              <w:rPr>
                <w:noProof/>
                <w:webHidden/>
              </w:rPr>
              <w:fldChar w:fldCharType="begin"/>
            </w:r>
            <w:r>
              <w:rPr>
                <w:noProof/>
                <w:webHidden/>
              </w:rPr>
              <w:instrText xml:space="preserve"> PAGEREF _Toc87348748 \h </w:instrText>
            </w:r>
            <w:r>
              <w:rPr>
                <w:noProof/>
                <w:webHidden/>
              </w:rPr>
            </w:r>
            <w:r>
              <w:rPr>
                <w:noProof/>
                <w:webHidden/>
              </w:rPr>
              <w:fldChar w:fldCharType="separate"/>
            </w:r>
            <w:r w:rsidR="00C32F51">
              <w:rPr>
                <w:noProof/>
                <w:webHidden/>
              </w:rPr>
              <w:t>39</w:t>
            </w:r>
            <w:r>
              <w:rPr>
                <w:noProof/>
                <w:webHidden/>
              </w:rPr>
              <w:fldChar w:fldCharType="end"/>
            </w:r>
          </w:hyperlink>
        </w:p>
        <w:p w14:paraId="5843F39A" w14:textId="1031E8E0"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49" w:history="1">
            <w:r w:rsidRPr="009E36F7">
              <w:rPr>
                <w:rStyle w:val="Hyperlink"/>
                <w:noProof/>
              </w:rPr>
              <w:t>8.2.4</w:t>
            </w:r>
            <w:r>
              <w:rPr>
                <w:rFonts w:asciiTheme="minorHAnsi" w:eastAsiaTheme="minorEastAsia" w:hAnsiTheme="minorHAnsi" w:cstheme="minorBidi"/>
                <w:noProof/>
                <w:sz w:val="22"/>
                <w:szCs w:val="22"/>
                <w:lang w:val="cs-CZ"/>
              </w:rPr>
              <w:tab/>
            </w:r>
            <w:r w:rsidRPr="009E36F7">
              <w:rPr>
                <w:rStyle w:val="Hyperlink"/>
                <w:noProof/>
              </w:rPr>
              <w:t>Vyhodnotenie finančnej analýzy – Variant 1</w:t>
            </w:r>
            <w:r>
              <w:rPr>
                <w:noProof/>
                <w:webHidden/>
              </w:rPr>
              <w:tab/>
            </w:r>
            <w:r>
              <w:rPr>
                <w:noProof/>
                <w:webHidden/>
              </w:rPr>
              <w:fldChar w:fldCharType="begin"/>
            </w:r>
            <w:r>
              <w:rPr>
                <w:noProof/>
                <w:webHidden/>
              </w:rPr>
              <w:instrText xml:space="preserve"> PAGEREF _Toc87348749 \h </w:instrText>
            </w:r>
            <w:r>
              <w:rPr>
                <w:noProof/>
                <w:webHidden/>
              </w:rPr>
            </w:r>
            <w:r>
              <w:rPr>
                <w:noProof/>
                <w:webHidden/>
              </w:rPr>
              <w:fldChar w:fldCharType="separate"/>
            </w:r>
            <w:r w:rsidR="00C32F51">
              <w:rPr>
                <w:noProof/>
                <w:webHidden/>
              </w:rPr>
              <w:t>39</w:t>
            </w:r>
            <w:r>
              <w:rPr>
                <w:noProof/>
                <w:webHidden/>
              </w:rPr>
              <w:fldChar w:fldCharType="end"/>
            </w:r>
          </w:hyperlink>
        </w:p>
        <w:p w14:paraId="41E541BF" w14:textId="014ED014"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50" w:history="1">
            <w:r w:rsidRPr="009E36F7">
              <w:rPr>
                <w:rStyle w:val="Hyperlink"/>
                <w:noProof/>
              </w:rPr>
              <w:t>8.3</w:t>
            </w:r>
            <w:r>
              <w:rPr>
                <w:rFonts w:asciiTheme="minorHAnsi" w:eastAsiaTheme="minorEastAsia" w:hAnsiTheme="minorHAnsi" w:cstheme="minorBidi"/>
                <w:noProof/>
                <w:sz w:val="22"/>
                <w:szCs w:val="22"/>
                <w:lang w:val="cs-CZ"/>
              </w:rPr>
              <w:tab/>
            </w:r>
            <w:r w:rsidRPr="009E36F7">
              <w:rPr>
                <w:rStyle w:val="Hyperlink"/>
                <w:noProof/>
              </w:rPr>
              <w:t>Finančná analýza – Variant 2</w:t>
            </w:r>
            <w:r>
              <w:rPr>
                <w:noProof/>
                <w:webHidden/>
              </w:rPr>
              <w:tab/>
            </w:r>
            <w:r>
              <w:rPr>
                <w:noProof/>
                <w:webHidden/>
              </w:rPr>
              <w:fldChar w:fldCharType="begin"/>
            </w:r>
            <w:r>
              <w:rPr>
                <w:noProof/>
                <w:webHidden/>
              </w:rPr>
              <w:instrText xml:space="preserve"> PAGEREF _Toc87348750 \h </w:instrText>
            </w:r>
            <w:r>
              <w:rPr>
                <w:noProof/>
                <w:webHidden/>
              </w:rPr>
            </w:r>
            <w:r>
              <w:rPr>
                <w:noProof/>
                <w:webHidden/>
              </w:rPr>
              <w:fldChar w:fldCharType="separate"/>
            </w:r>
            <w:r w:rsidR="00C32F51">
              <w:rPr>
                <w:noProof/>
                <w:webHidden/>
              </w:rPr>
              <w:t>41</w:t>
            </w:r>
            <w:r>
              <w:rPr>
                <w:noProof/>
                <w:webHidden/>
              </w:rPr>
              <w:fldChar w:fldCharType="end"/>
            </w:r>
          </w:hyperlink>
        </w:p>
        <w:p w14:paraId="13181E52" w14:textId="28E899A6"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51" w:history="1">
            <w:r w:rsidRPr="009E36F7">
              <w:rPr>
                <w:rStyle w:val="Hyperlink"/>
                <w:noProof/>
              </w:rPr>
              <w:t>8.3.1</w:t>
            </w:r>
            <w:r>
              <w:rPr>
                <w:rFonts w:asciiTheme="minorHAnsi" w:eastAsiaTheme="minorEastAsia" w:hAnsiTheme="minorHAnsi" w:cstheme="minorBidi"/>
                <w:noProof/>
                <w:sz w:val="22"/>
                <w:szCs w:val="22"/>
                <w:lang w:val="cs-CZ"/>
              </w:rPr>
              <w:tab/>
            </w:r>
            <w:r w:rsidRPr="009E36F7">
              <w:rPr>
                <w:rStyle w:val="Hyperlink"/>
                <w:noProof/>
              </w:rPr>
              <w:t>Výdavky</w:t>
            </w:r>
            <w:r>
              <w:rPr>
                <w:noProof/>
                <w:webHidden/>
              </w:rPr>
              <w:tab/>
            </w:r>
            <w:r>
              <w:rPr>
                <w:noProof/>
                <w:webHidden/>
              </w:rPr>
              <w:fldChar w:fldCharType="begin"/>
            </w:r>
            <w:r>
              <w:rPr>
                <w:noProof/>
                <w:webHidden/>
              </w:rPr>
              <w:instrText xml:space="preserve"> PAGEREF _Toc87348751 \h </w:instrText>
            </w:r>
            <w:r>
              <w:rPr>
                <w:noProof/>
                <w:webHidden/>
              </w:rPr>
            </w:r>
            <w:r>
              <w:rPr>
                <w:noProof/>
                <w:webHidden/>
              </w:rPr>
              <w:fldChar w:fldCharType="separate"/>
            </w:r>
            <w:r w:rsidR="00C32F51">
              <w:rPr>
                <w:noProof/>
                <w:webHidden/>
              </w:rPr>
              <w:t>41</w:t>
            </w:r>
            <w:r>
              <w:rPr>
                <w:noProof/>
                <w:webHidden/>
              </w:rPr>
              <w:fldChar w:fldCharType="end"/>
            </w:r>
          </w:hyperlink>
        </w:p>
        <w:p w14:paraId="1F4FF2C7" w14:textId="0E2F04AE"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52" w:history="1">
            <w:r w:rsidRPr="009E36F7">
              <w:rPr>
                <w:rStyle w:val="Hyperlink"/>
                <w:noProof/>
              </w:rPr>
              <w:t>8.3.2</w:t>
            </w:r>
            <w:r>
              <w:rPr>
                <w:rFonts w:asciiTheme="minorHAnsi" w:eastAsiaTheme="minorEastAsia" w:hAnsiTheme="minorHAnsi" w:cstheme="minorBidi"/>
                <w:noProof/>
                <w:sz w:val="22"/>
                <w:szCs w:val="22"/>
                <w:lang w:val="cs-CZ"/>
              </w:rPr>
              <w:tab/>
            </w:r>
            <w:r w:rsidRPr="009E36F7">
              <w:rPr>
                <w:rStyle w:val="Hyperlink"/>
                <w:noProof/>
              </w:rPr>
              <w:t>Príjmy</w:t>
            </w:r>
            <w:r>
              <w:rPr>
                <w:noProof/>
                <w:webHidden/>
              </w:rPr>
              <w:tab/>
            </w:r>
            <w:r>
              <w:rPr>
                <w:noProof/>
                <w:webHidden/>
              </w:rPr>
              <w:fldChar w:fldCharType="begin"/>
            </w:r>
            <w:r>
              <w:rPr>
                <w:noProof/>
                <w:webHidden/>
              </w:rPr>
              <w:instrText xml:space="preserve"> PAGEREF _Toc87348752 \h </w:instrText>
            </w:r>
            <w:r>
              <w:rPr>
                <w:noProof/>
                <w:webHidden/>
              </w:rPr>
            </w:r>
            <w:r>
              <w:rPr>
                <w:noProof/>
                <w:webHidden/>
              </w:rPr>
              <w:fldChar w:fldCharType="separate"/>
            </w:r>
            <w:r w:rsidR="00C32F51">
              <w:rPr>
                <w:noProof/>
                <w:webHidden/>
              </w:rPr>
              <w:t>42</w:t>
            </w:r>
            <w:r>
              <w:rPr>
                <w:noProof/>
                <w:webHidden/>
              </w:rPr>
              <w:fldChar w:fldCharType="end"/>
            </w:r>
          </w:hyperlink>
        </w:p>
        <w:p w14:paraId="59217E9A" w14:textId="0EE6BEF5"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53" w:history="1">
            <w:r w:rsidRPr="009E36F7">
              <w:rPr>
                <w:rStyle w:val="Hyperlink"/>
                <w:noProof/>
              </w:rPr>
              <w:t>8.3.3</w:t>
            </w:r>
            <w:r>
              <w:rPr>
                <w:rFonts w:asciiTheme="minorHAnsi" w:eastAsiaTheme="minorEastAsia" w:hAnsiTheme="minorHAnsi" w:cstheme="minorBidi"/>
                <w:noProof/>
                <w:sz w:val="22"/>
                <w:szCs w:val="22"/>
                <w:lang w:val="cs-CZ"/>
              </w:rPr>
              <w:tab/>
            </w:r>
            <w:r w:rsidRPr="009E36F7">
              <w:rPr>
                <w:rStyle w:val="Hyperlink"/>
                <w:noProof/>
              </w:rPr>
              <w:t>Financovanie</w:t>
            </w:r>
            <w:r>
              <w:rPr>
                <w:noProof/>
                <w:webHidden/>
              </w:rPr>
              <w:tab/>
            </w:r>
            <w:r>
              <w:rPr>
                <w:noProof/>
                <w:webHidden/>
              </w:rPr>
              <w:fldChar w:fldCharType="begin"/>
            </w:r>
            <w:r>
              <w:rPr>
                <w:noProof/>
                <w:webHidden/>
              </w:rPr>
              <w:instrText xml:space="preserve"> PAGEREF _Toc87348753 \h </w:instrText>
            </w:r>
            <w:r>
              <w:rPr>
                <w:noProof/>
                <w:webHidden/>
              </w:rPr>
            </w:r>
            <w:r>
              <w:rPr>
                <w:noProof/>
                <w:webHidden/>
              </w:rPr>
              <w:fldChar w:fldCharType="separate"/>
            </w:r>
            <w:r w:rsidR="00C32F51">
              <w:rPr>
                <w:noProof/>
                <w:webHidden/>
              </w:rPr>
              <w:t>43</w:t>
            </w:r>
            <w:r>
              <w:rPr>
                <w:noProof/>
                <w:webHidden/>
              </w:rPr>
              <w:fldChar w:fldCharType="end"/>
            </w:r>
          </w:hyperlink>
        </w:p>
        <w:p w14:paraId="7502D0A1" w14:textId="21F22857"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54" w:history="1">
            <w:r w:rsidRPr="009E36F7">
              <w:rPr>
                <w:rStyle w:val="Hyperlink"/>
                <w:noProof/>
              </w:rPr>
              <w:t>8.3.4</w:t>
            </w:r>
            <w:r>
              <w:rPr>
                <w:rFonts w:asciiTheme="minorHAnsi" w:eastAsiaTheme="minorEastAsia" w:hAnsiTheme="minorHAnsi" w:cstheme="minorBidi"/>
                <w:noProof/>
                <w:sz w:val="22"/>
                <w:szCs w:val="22"/>
                <w:lang w:val="cs-CZ"/>
              </w:rPr>
              <w:tab/>
            </w:r>
            <w:r w:rsidRPr="009E36F7">
              <w:rPr>
                <w:rStyle w:val="Hyperlink"/>
                <w:noProof/>
              </w:rPr>
              <w:t>Vyhodnotenie finančnej analýzy – Variant 2</w:t>
            </w:r>
            <w:r>
              <w:rPr>
                <w:noProof/>
                <w:webHidden/>
              </w:rPr>
              <w:tab/>
            </w:r>
            <w:r>
              <w:rPr>
                <w:noProof/>
                <w:webHidden/>
              </w:rPr>
              <w:fldChar w:fldCharType="begin"/>
            </w:r>
            <w:r>
              <w:rPr>
                <w:noProof/>
                <w:webHidden/>
              </w:rPr>
              <w:instrText xml:space="preserve"> PAGEREF _Toc87348754 \h </w:instrText>
            </w:r>
            <w:r>
              <w:rPr>
                <w:noProof/>
                <w:webHidden/>
              </w:rPr>
            </w:r>
            <w:r>
              <w:rPr>
                <w:noProof/>
                <w:webHidden/>
              </w:rPr>
              <w:fldChar w:fldCharType="separate"/>
            </w:r>
            <w:r w:rsidR="00C32F51">
              <w:rPr>
                <w:noProof/>
                <w:webHidden/>
              </w:rPr>
              <w:t>43</w:t>
            </w:r>
            <w:r>
              <w:rPr>
                <w:noProof/>
                <w:webHidden/>
              </w:rPr>
              <w:fldChar w:fldCharType="end"/>
            </w:r>
          </w:hyperlink>
        </w:p>
        <w:p w14:paraId="080AA5E8" w14:textId="0E03F294" w:rsidR="00250081" w:rsidRDefault="00250081">
          <w:pPr>
            <w:pStyle w:val="TOC1"/>
            <w:tabs>
              <w:tab w:val="left" w:pos="400"/>
              <w:tab w:val="right" w:leader="dot" w:pos="9174"/>
            </w:tabs>
            <w:rPr>
              <w:rFonts w:asciiTheme="minorHAnsi" w:eastAsiaTheme="minorEastAsia" w:hAnsiTheme="minorHAnsi" w:cstheme="minorBidi"/>
              <w:noProof/>
              <w:sz w:val="22"/>
              <w:szCs w:val="22"/>
              <w:lang w:val="cs-CZ"/>
            </w:rPr>
          </w:pPr>
          <w:hyperlink w:anchor="_Toc87348755" w:history="1">
            <w:r w:rsidRPr="009E36F7">
              <w:rPr>
                <w:rStyle w:val="Hyperlink"/>
                <w:noProof/>
              </w:rPr>
              <w:t>9</w:t>
            </w:r>
            <w:r>
              <w:rPr>
                <w:rFonts w:asciiTheme="minorHAnsi" w:eastAsiaTheme="minorEastAsia" w:hAnsiTheme="minorHAnsi" w:cstheme="minorBidi"/>
                <w:noProof/>
                <w:sz w:val="22"/>
                <w:szCs w:val="22"/>
                <w:lang w:val="cs-CZ"/>
              </w:rPr>
              <w:tab/>
            </w:r>
            <w:r w:rsidRPr="009E36F7">
              <w:rPr>
                <w:rStyle w:val="Hyperlink"/>
                <w:noProof/>
              </w:rPr>
              <w:t>Ekonomická analýza komplexného projektu</w:t>
            </w:r>
            <w:r>
              <w:rPr>
                <w:noProof/>
                <w:webHidden/>
              </w:rPr>
              <w:tab/>
            </w:r>
            <w:r>
              <w:rPr>
                <w:noProof/>
                <w:webHidden/>
              </w:rPr>
              <w:fldChar w:fldCharType="begin"/>
            </w:r>
            <w:r>
              <w:rPr>
                <w:noProof/>
                <w:webHidden/>
              </w:rPr>
              <w:instrText xml:space="preserve"> PAGEREF _Toc87348755 \h </w:instrText>
            </w:r>
            <w:r>
              <w:rPr>
                <w:noProof/>
                <w:webHidden/>
              </w:rPr>
            </w:r>
            <w:r>
              <w:rPr>
                <w:noProof/>
                <w:webHidden/>
              </w:rPr>
              <w:fldChar w:fldCharType="separate"/>
            </w:r>
            <w:r w:rsidR="00C32F51">
              <w:rPr>
                <w:noProof/>
                <w:webHidden/>
              </w:rPr>
              <w:t>45</w:t>
            </w:r>
            <w:r>
              <w:rPr>
                <w:noProof/>
                <w:webHidden/>
              </w:rPr>
              <w:fldChar w:fldCharType="end"/>
            </w:r>
          </w:hyperlink>
        </w:p>
        <w:p w14:paraId="1B8B5AAC" w14:textId="1C949F14"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56" w:history="1">
            <w:r w:rsidRPr="009E36F7">
              <w:rPr>
                <w:rStyle w:val="Hyperlink"/>
                <w:noProof/>
              </w:rPr>
              <w:t>9.1</w:t>
            </w:r>
            <w:r>
              <w:rPr>
                <w:rFonts w:asciiTheme="minorHAnsi" w:eastAsiaTheme="minorEastAsia" w:hAnsiTheme="minorHAnsi" w:cstheme="minorBidi"/>
                <w:noProof/>
                <w:sz w:val="22"/>
                <w:szCs w:val="22"/>
                <w:lang w:val="cs-CZ"/>
              </w:rPr>
              <w:tab/>
            </w:r>
            <w:r w:rsidRPr="009E36F7">
              <w:rPr>
                <w:rStyle w:val="Hyperlink"/>
                <w:noProof/>
              </w:rPr>
              <w:t>Metodika ekonomickej analýzy</w:t>
            </w:r>
            <w:r>
              <w:rPr>
                <w:noProof/>
                <w:webHidden/>
              </w:rPr>
              <w:tab/>
            </w:r>
            <w:r>
              <w:rPr>
                <w:noProof/>
                <w:webHidden/>
              </w:rPr>
              <w:fldChar w:fldCharType="begin"/>
            </w:r>
            <w:r>
              <w:rPr>
                <w:noProof/>
                <w:webHidden/>
              </w:rPr>
              <w:instrText xml:space="preserve"> PAGEREF _Toc87348756 \h </w:instrText>
            </w:r>
            <w:r>
              <w:rPr>
                <w:noProof/>
                <w:webHidden/>
              </w:rPr>
            </w:r>
            <w:r>
              <w:rPr>
                <w:noProof/>
                <w:webHidden/>
              </w:rPr>
              <w:fldChar w:fldCharType="separate"/>
            </w:r>
            <w:r w:rsidR="00C32F51">
              <w:rPr>
                <w:noProof/>
                <w:webHidden/>
              </w:rPr>
              <w:t>45</w:t>
            </w:r>
            <w:r>
              <w:rPr>
                <w:noProof/>
                <w:webHidden/>
              </w:rPr>
              <w:fldChar w:fldCharType="end"/>
            </w:r>
          </w:hyperlink>
        </w:p>
        <w:p w14:paraId="4C224476" w14:textId="10933DBB"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57" w:history="1">
            <w:r w:rsidRPr="009E36F7">
              <w:rPr>
                <w:rStyle w:val="Hyperlink"/>
                <w:noProof/>
              </w:rPr>
              <w:t>9.1.1</w:t>
            </w:r>
            <w:r>
              <w:rPr>
                <w:rFonts w:asciiTheme="minorHAnsi" w:eastAsiaTheme="minorEastAsia" w:hAnsiTheme="minorHAnsi" w:cstheme="minorBidi"/>
                <w:noProof/>
                <w:sz w:val="22"/>
                <w:szCs w:val="22"/>
                <w:lang w:val="cs-CZ"/>
              </w:rPr>
              <w:tab/>
            </w:r>
            <w:r w:rsidRPr="009E36F7">
              <w:rPr>
                <w:rStyle w:val="Hyperlink"/>
                <w:noProof/>
              </w:rPr>
              <w:t>Fiškálne korekcie</w:t>
            </w:r>
            <w:r>
              <w:rPr>
                <w:noProof/>
                <w:webHidden/>
              </w:rPr>
              <w:tab/>
            </w:r>
            <w:r>
              <w:rPr>
                <w:noProof/>
                <w:webHidden/>
              </w:rPr>
              <w:fldChar w:fldCharType="begin"/>
            </w:r>
            <w:r>
              <w:rPr>
                <w:noProof/>
                <w:webHidden/>
              </w:rPr>
              <w:instrText xml:space="preserve"> PAGEREF _Toc87348757 \h </w:instrText>
            </w:r>
            <w:r>
              <w:rPr>
                <w:noProof/>
                <w:webHidden/>
              </w:rPr>
            </w:r>
            <w:r>
              <w:rPr>
                <w:noProof/>
                <w:webHidden/>
              </w:rPr>
              <w:fldChar w:fldCharType="separate"/>
            </w:r>
            <w:r w:rsidR="00C32F51">
              <w:rPr>
                <w:noProof/>
                <w:webHidden/>
              </w:rPr>
              <w:t>45</w:t>
            </w:r>
            <w:r>
              <w:rPr>
                <w:noProof/>
                <w:webHidden/>
              </w:rPr>
              <w:fldChar w:fldCharType="end"/>
            </w:r>
          </w:hyperlink>
        </w:p>
        <w:p w14:paraId="59A943C0" w14:textId="413ACE36"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58" w:history="1">
            <w:r w:rsidRPr="009E36F7">
              <w:rPr>
                <w:rStyle w:val="Hyperlink"/>
                <w:noProof/>
              </w:rPr>
              <w:t>9.1.2</w:t>
            </w:r>
            <w:r>
              <w:rPr>
                <w:rFonts w:asciiTheme="minorHAnsi" w:eastAsiaTheme="minorEastAsia" w:hAnsiTheme="minorHAnsi" w:cstheme="minorBidi"/>
                <w:noProof/>
                <w:sz w:val="22"/>
                <w:szCs w:val="22"/>
                <w:lang w:val="cs-CZ"/>
              </w:rPr>
              <w:tab/>
            </w:r>
            <w:r w:rsidRPr="009E36F7">
              <w:rPr>
                <w:rStyle w:val="Hyperlink"/>
                <w:noProof/>
              </w:rPr>
              <w:t>Identifikácia, kvantifikácia a ocenenie netrhových vplyvov</w:t>
            </w:r>
            <w:r>
              <w:rPr>
                <w:noProof/>
                <w:webHidden/>
              </w:rPr>
              <w:tab/>
            </w:r>
            <w:r>
              <w:rPr>
                <w:noProof/>
                <w:webHidden/>
              </w:rPr>
              <w:fldChar w:fldCharType="begin"/>
            </w:r>
            <w:r>
              <w:rPr>
                <w:noProof/>
                <w:webHidden/>
              </w:rPr>
              <w:instrText xml:space="preserve"> PAGEREF _Toc87348758 \h </w:instrText>
            </w:r>
            <w:r>
              <w:rPr>
                <w:noProof/>
                <w:webHidden/>
              </w:rPr>
            </w:r>
            <w:r>
              <w:rPr>
                <w:noProof/>
                <w:webHidden/>
              </w:rPr>
              <w:fldChar w:fldCharType="separate"/>
            </w:r>
            <w:r w:rsidR="00C32F51">
              <w:rPr>
                <w:noProof/>
                <w:webHidden/>
              </w:rPr>
              <w:t>45</w:t>
            </w:r>
            <w:r>
              <w:rPr>
                <w:noProof/>
                <w:webHidden/>
              </w:rPr>
              <w:fldChar w:fldCharType="end"/>
            </w:r>
          </w:hyperlink>
        </w:p>
        <w:p w14:paraId="4D98F145" w14:textId="5F23B7CC"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59" w:history="1">
            <w:r w:rsidRPr="009E36F7">
              <w:rPr>
                <w:rStyle w:val="Hyperlink"/>
                <w:noProof/>
              </w:rPr>
              <w:t>9.2</w:t>
            </w:r>
            <w:r>
              <w:rPr>
                <w:rFonts w:asciiTheme="minorHAnsi" w:eastAsiaTheme="minorEastAsia" w:hAnsiTheme="minorHAnsi" w:cstheme="minorBidi"/>
                <w:noProof/>
                <w:sz w:val="22"/>
                <w:szCs w:val="22"/>
                <w:lang w:val="cs-CZ"/>
              </w:rPr>
              <w:tab/>
            </w:r>
            <w:r w:rsidRPr="009E36F7">
              <w:rPr>
                <w:rStyle w:val="Hyperlink"/>
                <w:noProof/>
              </w:rPr>
              <w:t>Ekonomická analýza – Variant 1</w:t>
            </w:r>
            <w:r>
              <w:rPr>
                <w:noProof/>
                <w:webHidden/>
              </w:rPr>
              <w:tab/>
            </w:r>
            <w:r>
              <w:rPr>
                <w:noProof/>
                <w:webHidden/>
              </w:rPr>
              <w:fldChar w:fldCharType="begin"/>
            </w:r>
            <w:r>
              <w:rPr>
                <w:noProof/>
                <w:webHidden/>
              </w:rPr>
              <w:instrText xml:space="preserve"> PAGEREF _Toc87348759 \h </w:instrText>
            </w:r>
            <w:r>
              <w:rPr>
                <w:noProof/>
                <w:webHidden/>
              </w:rPr>
            </w:r>
            <w:r>
              <w:rPr>
                <w:noProof/>
                <w:webHidden/>
              </w:rPr>
              <w:fldChar w:fldCharType="separate"/>
            </w:r>
            <w:r w:rsidR="00C32F51">
              <w:rPr>
                <w:noProof/>
                <w:webHidden/>
              </w:rPr>
              <w:t>46</w:t>
            </w:r>
            <w:r>
              <w:rPr>
                <w:noProof/>
                <w:webHidden/>
              </w:rPr>
              <w:fldChar w:fldCharType="end"/>
            </w:r>
          </w:hyperlink>
        </w:p>
        <w:p w14:paraId="7F6CB9B5" w14:textId="089F6BB1"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0" w:history="1">
            <w:r w:rsidRPr="009E36F7">
              <w:rPr>
                <w:rStyle w:val="Hyperlink"/>
                <w:noProof/>
              </w:rPr>
              <w:t>9.2.1</w:t>
            </w:r>
            <w:r>
              <w:rPr>
                <w:rFonts w:asciiTheme="minorHAnsi" w:eastAsiaTheme="minorEastAsia" w:hAnsiTheme="minorHAnsi" w:cstheme="minorBidi"/>
                <w:noProof/>
                <w:sz w:val="22"/>
                <w:szCs w:val="22"/>
                <w:lang w:val="cs-CZ"/>
              </w:rPr>
              <w:tab/>
            </w:r>
            <w:r w:rsidRPr="009E36F7">
              <w:rPr>
                <w:rStyle w:val="Hyperlink"/>
                <w:noProof/>
              </w:rPr>
              <w:t>Investičné náklady – ekonomické</w:t>
            </w:r>
            <w:r>
              <w:rPr>
                <w:noProof/>
                <w:webHidden/>
              </w:rPr>
              <w:tab/>
            </w:r>
            <w:r>
              <w:rPr>
                <w:noProof/>
                <w:webHidden/>
              </w:rPr>
              <w:fldChar w:fldCharType="begin"/>
            </w:r>
            <w:r>
              <w:rPr>
                <w:noProof/>
                <w:webHidden/>
              </w:rPr>
              <w:instrText xml:space="preserve"> PAGEREF _Toc87348760 \h </w:instrText>
            </w:r>
            <w:r>
              <w:rPr>
                <w:noProof/>
                <w:webHidden/>
              </w:rPr>
            </w:r>
            <w:r>
              <w:rPr>
                <w:noProof/>
                <w:webHidden/>
              </w:rPr>
              <w:fldChar w:fldCharType="separate"/>
            </w:r>
            <w:r w:rsidR="00C32F51">
              <w:rPr>
                <w:noProof/>
                <w:webHidden/>
              </w:rPr>
              <w:t>46</w:t>
            </w:r>
            <w:r>
              <w:rPr>
                <w:noProof/>
                <w:webHidden/>
              </w:rPr>
              <w:fldChar w:fldCharType="end"/>
            </w:r>
          </w:hyperlink>
        </w:p>
        <w:p w14:paraId="091D4633" w14:textId="162FE5CC"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1" w:history="1">
            <w:r w:rsidRPr="009E36F7">
              <w:rPr>
                <w:rStyle w:val="Hyperlink"/>
                <w:noProof/>
              </w:rPr>
              <w:t>9.2.2</w:t>
            </w:r>
            <w:r>
              <w:rPr>
                <w:rFonts w:asciiTheme="minorHAnsi" w:eastAsiaTheme="minorEastAsia" w:hAnsiTheme="minorHAnsi" w:cstheme="minorBidi"/>
                <w:noProof/>
                <w:sz w:val="22"/>
                <w:szCs w:val="22"/>
                <w:lang w:val="cs-CZ"/>
              </w:rPr>
              <w:tab/>
            </w:r>
            <w:r w:rsidRPr="009E36F7">
              <w:rPr>
                <w:rStyle w:val="Hyperlink"/>
                <w:noProof/>
              </w:rPr>
              <w:t>Prevádzkové náklady – Ekonomické</w:t>
            </w:r>
            <w:r>
              <w:rPr>
                <w:noProof/>
                <w:webHidden/>
              </w:rPr>
              <w:tab/>
            </w:r>
            <w:r>
              <w:rPr>
                <w:noProof/>
                <w:webHidden/>
              </w:rPr>
              <w:fldChar w:fldCharType="begin"/>
            </w:r>
            <w:r>
              <w:rPr>
                <w:noProof/>
                <w:webHidden/>
              </w:rPr>
              <w:instrText xml:space="preserve"> PAGEREF _Toc87348761 \h </w:instrText>
            </w:r>
            <w:r>
              <w:rPr>
                <w:noProof/>
                <w:webHidden/>
              </w:rPr>
            </w:r>
            <w:r>
              <w:rPr>
                <w:noProof/>
                <w:webHidden/>
              </w:rPr>
              <w:fldChar w:fldCharType="separate"/>
            </w:r>
            <w:r w:rsidR="00C32F51">
              <w:rPr>
                <w:noProof/>
                <w:webHidden/>
              </w:rPr>
              <w:t>46</w:t>
            </w:r>
            <w:r>
              <w:rPr>
                <w:noProof/>
                <w:webHidden/>
              </w:rPr>
              <w:fldChar w:fldCharType="end"/>
            </w:r>
          </w:hyperlink>
        </w:p>
        <w:p w14:paraId="431AC64E" w14:textId="09A56015"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2" w:history="1">
            <w:r w:rsidRPr="009E36F7">
              <w:rPr>
                <w:rStyle w:val="Hyperlink"/>
                <w:noProof/>
              </w:rPr>
              <w:t>9.2.3</w:t>
            </w:r>
            <w:r>
              <w:rPr>
                <w:rFonts w:asciiTheme="minorHAnsi" w:eastAsiaTheme="minorEastAsia" w:hAnsiTheme="minorHAnsi" w:cstheme="minorBidi"/>
                <w:noProof/>
                <w:sz w:val="22"/>
                <w:szCs w:val="22"/>
                <w:lang w:val="cs-CZ"/>
              </w:rPr>
              <w:tab/>
            </w:r>
            <w:r w:rsidRPr="009E36F7">
              <w:rPr>
                <w:rStyle w:val="Hyperlink"/>
                <w:noProof/>
              </w:rPr>
              <w:t>Prevádzkové príjmy – inkrementálne</w:t>
            </w:r>
            <w:r>
              <w:rPr>
                <w:noProof/>
                <w:webHidden/>
              </w:rPr>
              <w:tab/>
            </w:r>
            <w:r>
              <w:rPr>
                <w:noProof/>
                <w:webHidden/>
              </w:rPr>
              <w:fldChar w:fldCharType="begin"/>
            </w:r>
            <w:r>
              <w:rPr>
                <w:noProof/>
                <w:webHidden/>
              </w:rPr>
              <w:instrText xml:space="preserve"> PAGEREF _Toc87348762 \h </w:instrText>
            </w:r>
            <w:r>
              <w:rPr>
                <w:noProof/>
                <w:webHidden/>
              </w:rPr>
            </w:r>
            <w:r>
              <w:rPr>
                <w:noProof/>
                <w:webHidden/>
              </w:rPr>
              <w:fldChar w:fldCharType="separate"/>
            </w:r>
            <w:r w:rsidR="00C32F51">
              <w:rPr>
                <w:noProof/>
                <w:webHidden/>
              </w:rPr>
              <w:t>47</w:t>
            </w:r>
            <w:r>
              <w:rPr>
                <w:noProof/>
                <w:webHidden/>
              </w:rPr>
              <w:fldChar w:fldCharType="end"/>
            </w:r>
          </w:hyperlink>
        </w:p>
        <w:p w14:paraId="75366584" w14:textId="12822C59"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3" w:history="1">
            <w:r w:rsidRPr="009E36F7">
              <w:rPr>
                <w:rStyle w:val="Hyperlink"/>
                <w:noProof/>
              </w:rPr>
              <w:t>9.2.4</w:t>
            </w:r>
            <w:r>
              <w:rPr>
                <w:rFonts w:asciiTheme="minorHAnsi" w:eastAsiaTheme="minorEastAsia" w:hAnsiTheme="minorHAnsi" w:cstheme="minorBidi"/>
                <w:noProof/>
                <w:sz w:val="22"/>
                <w:szCs w:val="22"/>
                <w:lang w:val="cs-CZ"/>
              </w:rPr>
              <w:tab/>
            </w:r>
            <w:r w:rsidRPr="009E36F7">
              <w:rPr>
                <w:rStyle w:val="Hyperlink"/>
                <w:noProof/>
              </w:rPr>
              <w:t>Prínosy pre používateľov</w:t>
            </w:r>
            <w:r>
              <w:rPr>
                <w:noProof/>
                <w:webHidden/>
              </w:rPr>
              <w:tab/>
            </w:r>
            <w:r>
              <w:rPr>
                <w:noProof/>
                <w:webHidden/>
              </w:rPr>
              <w:fldChar w:fldCharType="begin"/>
            </w:r>
            <w:r>
              <w:rPr>
                <w:noProof/>
                <w:webHidden/>
              </w:rPr>
              <w:instrText xml:space="preserve"> PAGEREF _Toc87348763 \h </w:instrText>
            </w:r>
            <w:r>
              <w:rPr>
                <w:noProof/>
                <w:webHidden/>
              </w:rPr>
            </w:r>
            <w:r>
              <w:rPr>
                <w:noProof/>
                <w:webHidden/>
              </w:rPr>
              <w:fldChar w:fldCharType="separate"/>
            </w:r>
            <w:r w:rsidR="00C32F51">
              <w:rPr>
                <w:noProof/>
                <w:webHidden/>
              </w:rPr>
              <w:t>47</w:t>
            </w:r>
            <w:r>
              <w:rPr>
                <w:noProof/>
                <w:webHidden/>
              </w:rPr>
              <w:fldChar w:fldCharType="end"/>
            </w:r>
          </w:hyperlink>
        </w:p>
        <w:p w14:paraId="42E16839" w14:textId="4A5F4893"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4" w:history="1">
            <w:r w:rsidRPr="009E36F7">
              <w:rPr>
                <w:rStyle w:val="Hyperlink"/>
                <w:noProof/>
              </w:rPr>
              <w:t>9.2.5</w:t>
            </w:r>
            <w:r>
              <w:rPr>
                <w:rFonts w:asciiTheme="minorHAnsi" w:eastAsiaTheme="minorEastAsia" w:hAnsiTheme="minorHAnsi" w:cstheme="minorBidi"/>
                <w:noProof/>
                <w:sz w:val="22"/>
                <w:szCs w:val="22"/>
                <w:lang w:val="cs-CZ"/>
              </w:rPr>
              <w:tab/>
            </w:r>
            <w:r w:rsidRPr="009E36F7">
              <w:rPr>
                <w:rStyle w:val="Hyperlink"/>
                <w:noProof/>
              </w:rPr>
              <w:t>Výsledky Ekonomickej analýzy – Variant 1</w:t>
            </w:r>
            <w:r>
              <w:rPr>
                <w:noProof/>
                <w:webHidden/>
              </w:rPr>
              <w:tab/>
            </w:r>
            <w:r>
              <w:rPr>
                <w:noProof/>
                <w:webHidden/>
              </w:rPr>
              <w:fldChar w:fldCharType="begin"/>
            </w:r>
            <w:r>
              <w:rPr>
                <w:noProof/>
                <w:webHidden/>
              </w:rPr>
              <w:instrText xml:space="preserve"> PAGEREF _Toc87348764 \h </w:instrText>
            </w:r>
            <w:r>
              <w:rPr>
                <w:noProof/>
                <w:webHidden/>
              </w:rPr>
            </w:r>
            <w:r>
              <w:rPr>
                <w:noProof/>
                <w:webHidden/>
              </w:rPr>
              <w:fldChar w:fldCharType="separate"/>
            </w:r>
            <w:r w:rsidR="00C32F51">
              <w:rPr>
                <w:noProof/>
                <w:webHidden/>
              </w:rPr>
              <w:t>47</w:t>
            </w:r>
            <w:r>
              <w:rPr>
                <w:noProof/>
                <w:webHidden/>
              </w:rPr>
              <w:fldChar w:fldCharType="end"/>
            </w:r>
          </w:hyperlink>
        </w:p>
        <w:p w14:paraId="5C682281" w14:textId="1913E1B7"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65" w:history="1">
            <w:r w:rsidRPr="009E36F7">
              <w:rPr>
                <w:rStyle w:val="Hyperlink"/>
                <w:noProof/>
              </w:rPr>
              <w:t>9.3</w:t>
            </w:r>
            <w:r>
              <w:rPr>
                <w:rFonts w:asciiTheme="minorHAnsi" w:eastAsiaTheme="minorEastAsia" w:hAnsiTheme="minorHAnsi" w:cstheme="minorBidi"/>
                <w:noProof/>
                <w:sz w:val="22"/>
                <w:szCs w:val="22"/>
                <w:lang w:val="cs-CZ"/>
              </w:rPr>
              <w:tab/>
            </w:r>
            <w:r w:rsidRPr="009E36F7">
              <w:rPr>
                <w:rStyle w:val="Hyperlink"/>
                <w:noProof/>
              </w:rPr>
              <w:t>Ekonomická analýza – Variant 2</w:t>
            </w:r>
            <w:r>
              <w:rPr>
                <w:noProof/>
                <w:webHidden/>
              </w:rPr>
              <w:tab/>
            </w:r>
            <w:r>
              <w:rPr>
                <w:noProof/>
                <w:webHidden/>
              </w:rPr>
              <w:fldChar w:fldCharType="begin"/>
            </w:r>
            <w:r>
              <w:rPr>
                <w:noProof/>
                <w:webHidden/>
              </w:rPr>
              <w:instrText xml:space="preserve"> PAGEREF _Toc87348765 \h </w:instrText>
            </w:r>
            <w:r>
              <w:rPr>
                <w:noProof/>
                <w:webHidden/>
              </w:rPr>
            </w:r>
            <w:r>
              <w:rPr>
                <w:noProof/>
                <w:webHidden/>
              </w:rPr>
              <w:fldChar w:fldCharType="separate"/>
            </w:r>
            <w:r w:rsidR="00C32F51">
              <w:rPr>
                <w:noProof/>
                <w:webHidden/>
              </w:rPr>
              <w:t>48</w:t>
            </w:r>
            <w:r>
              <w:rPr>
                <w:noProof/>
                <w:webHidden/>
              </w:rPr>
              <w:fldChar w:fldCharType="end"/>
            </w:r>
          </w:hyperlink>
        </w:p>
        <w:p w14:paraId="220099DD" w14:textId="2C7E9900"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6" w:history="1">
            <w:r w:rsidRPr="009E36F7">
              <w:rPr>
                <w:rStyle w:val="Hyperlink"/>
                <w:noProof/>
              </w:rPr>
              <w:t>9.3.1</w:t>
            </w:r>
            <w:r>
              <w:rPr>
                <w:rFonts w:asciiTheme="minorHAnsi" w:eastAsiaTheme="minorEastAsia" w:hAnsiTheme="minorHAnsi" w:cstheme="minorBidi"/>
                <w:noProof/>
                <w:sz w:val="22"/>
                <w:szCs w:val="22"/>
                <w:lang w:val="cs-CZ"/>
              </w:rPr>
              <w:tab/>
            </w:r>
            <w:r w:rsidRPr="009E36F7">
              <w:rPr>
                <w:rStyle w:val="Hyperlink"/>
                <w:noProof/>
              </w:rPr>
              <w:t>Investičné náklady – ekonomické</w:t>
            </w:r>
            <w:r>
              <w:rPr>
                <w:noProof/>
                <w:webHidden/>
              </w:rPr>
              <w:tab/>
            </w:r>
            <w:r>
              <w:rPr>
                <w:noProof/>
                <w:webHidden/>
              </w:rPr>
              <w:fldChar w:fldCharType="begin"/>
            </w:r>
            <w:r>
              <w:rPr>
                <w:noProof/>
                <w:webHidden/>
              </w:rPr>
              <w:instrText xml:space="preserve"> PAGEREF _Toc87348766 \h </w:instrText>
            </w:r>
            <w:r>
              <w:rPr>
                <w:noProof/>
                <w:webHidden/>
              </w:rPr>
            </w:r>
            <w:r>
              <w:rPr>
                <w:noProof/>
                <w:webHidden/>
              </w:rPr>
              <w:fldChar w:fldCharType="separate"/>
            </w:r>
            <w:r w:rsidR="00C32F51">
              <w:rPr>
                <w:noProof/>
                <w:webHidden/>
              </w:rPr>
              <w:t>48</w:t>
            </w:r>
            <w:r>
              <w:rPr>
                <w:noProof/>
                <w:webHidden/>
              </w:rPr>
              <w:fldChar w:fldCharType="end"/>
            </w:r>
          </w:hyperlink>
        </w:p>
        <w:p w14:paraId="0C1B7573" w14:textId="6468FFC7"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7" w:history="1">
            <w:r w:rsidRPr="009E36F7">
              <w:rPr>
                <w:rStyle w:val="Hyperlink"/>
                <w:noProof/>
              </w:rPr>
              <w:t>9.3.2</w:t>
            </w:r>
            <w:r>
              <w:rPr>
                <w:rFonts w:asciiTheme="minorHAnsi" w:eastAsiaTheme="minorEastAsia" w:hAnsiTheme="minorHAnsi" w:cstheme="minorBidi"/>
                <w:noProof/>
                <w:sz w:val="22"/>
                <w:szCs w:val="22"/>
                <w:lang w:val="cs-CZ"/>
              </w:rPr>
              <w:tab/>
            </w:r>
            <w:r w:rsidRPr="009E36F7">
              <w:rPr>
                <w:rStyle w:val="Hyperlink"/>
                <w:noProof/>
              </w:rPr>
              <w:t>Prevádzkové náklady – Ekonomické</w:t>
            </w:r>
            <w:r>
              <w:rPr>
                <w:noProof/>
                <w:webHidden/>
              </w:rPr>
              <w:tab/>
            </w:r>
            <w:r>
              <w:rPr>
                <w:noProof/>
                <w:webHidden/>
              </w:rPr>
              <w:fldChar w:fldCharType="begin"/>
            </w:r>
            <w:r>
              <w:rPr>
                <w:noProof/>
                <w:webHidden/>
              </w:rPr>
              <w:instrText xml:space="preserve"> PAGEREF _Toc87348767 \h </w:instrText>
            </w:r>
            <w:r>
              <w:rPr>
                <w:noProof/>
                <w:webHidden/>
              </w:rPr>
            </w:r>
            <w:r>
              <w:rPr>
                <w:noProof/>
                <w:webHidden/>
              </w:rPr>
              <w:fldChar w:fldCharType="separate"/>
            </w:r>
            <w:r w:rsidR="00C32F51">
              <w:rPr>
                <w:noProof/>
                <w:webHidden/>
              </w:rPr>
              <w:t>49</w:t>
            </w:r>
            <w:r>
              <w:rPr>
                <w:noProof/>
                <w:webHidden/>
              </w:rPr>
              <w:fldChar w:fldCharType="end"/>
            </w:r>
          </w:hyperlink>
        </w:p>
        <w:p w14:paraId="14757F2B" w14:textId="6ABC5DCC"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8" w:history="1">
            <w:r w:rsidRPr="009E36F7">
              <w:rPr>
                <w:rStyle w:val="Hyperlink"/>
                <w:noProof/>
              </w:rPr>
              <w:t>9.3.3</w:t>
            </w:r>
            <w:r>
              <w:rPr>
                <w:rFonts w:asciiTheme="minorHAnsi" w:eastAsiaTheme="minorEastAsia" w:hAnsiTheme="minorHAnsi" w:cstheme="minorBidi"/>
                <w:noProof/>
                <w:sz w:val="22"/>
                <w:szCs w:val="22"/>
                <w:lang w:val="cs-CZ"/>
              </w:rPr>
              <w:tab/>
            </w:r>
            <w:r w:rsidRPr="009E36F7">
              <w:rPr>
                <w:rStyle w:val="Hyperlink"/>
                <w:noProof/>
              </w:rPr>
              <w:t>Prevádzkové príjmy – inkrementálne</w:t>
            </w:r>
            <w:r>
              <w:rPr>
                <w:noProof/>
                <w:webHidden/>
              </w:rPr>
              <w:tab/>
            </w:r>
            <w:r>
              <w:rPr>
                <w:noProof/>
                <w:webHidden/>
              </w:rPr>
              <w:fldChar w:fldCharType="begin"/>
            </w:r>
            <w:r>
              <w:rPr>
                <w:noProof/>
                <w:webHidden/>
              </w:rPr>
              <w:instrText xml:space="preserve"> PAGEREF _Toc87348768 \h </w:instrText>
            </w:r>
            <w:r>
              <w:rPr>
                <w:noProof/>
                <w:webHidden/>
              </w:rPr>
            </w:r>
            <w:r>
              <w:rPr>
                <w:noProof/>
                <w:webHidden/>
              </w:rPr>
              <w:fldChar w:fldCharType="separate"/>
            </w:r>
            <w:r w:rsidR="00C32F51">
              <w:rPr>
                <w:noProof/>
                <w:webHidden/>
              </w:rPr>
              <w:t>49</w:t>
            </w:r>
            <w:r>
              <w:rPr>
                <w:noProof/>
                <w:webHidden/>
              </w:rPr>
              <w:fldChar w:fldCharType="end"/>
            </w:r>
          </w:hyperlink>
        </w:p>
        <w:p w14:paraId="7A9C458C" w14:textId="310A760D"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69" w:history="1">
            <w:r w:rsidRPr="009E36F7">
              <w:rPr>
                <w:rStyle w:val="Hyperlink"/>
                <w:noProof/>
              </w:rPr>
              <w:t>9.3.4</w:t>
            </w:r>
            <w:r>
              <w:rPr>
                <w:rFonts w:asciiTheme="minorHAnsi" w:eastAsiaTheme="minorEastAsia" w:hAnsiTheme="minorHAnsi" w:cstheme="minorBidi"/>
                <w:noProof/>
                <w:sz w:val="22"/>
                <w:szCs w:val="22"/>
                <w:lang w:val="cs-CZ"/>
              </w:rPr>
              <w:tab/>
            </w:r>
            <w:r w:rsidRPr="009E36F7">
              <w:rPr>
                <w:rStyle w:val="Hyperlink"/>
                <w:noProof/>
              </w:rPr>
              <w:t>Prínosy pre používateľov</w:t>
            </w:r>
            <w:r>
              <w:rPr>
                <w:noProof/>
                <w:webHidden/>
              </w:rPr>
              <w:tab/>
            </w:r>
            <w:r>
              <w:rPr>
                <w:noProof/>
                <w:webHidden/>
              </w:rPr>
              <w:fldChar w:fldCharType="begin"/>
            </w:r>
            <w:r>
              <w:rPr>
                <w:noProof/>
                <w:webHidden/>
              </w:rPr>
              <w:instrText xml:space="preserve"> PAGEREF _Toc87348769 \h </w:instrText>
            </w:r>
            <w:r>
              <w:rPr>
                <w:noProof/>
                <w:webHidden/>
              </w:rPr>
            </w:r>
            <w:r>
              <w:rPr>
                <w:noProof/>
                <w:webHidden/>
              </w:rPr>
              <w:fldChar w:fldCharType="separate"/>
            </w:r>
            <w:r w:rsidR="00C32F51">
              <w:rPr>
                <w:noProof/>
                <w:webHidden/>
              </w:rPr>
              <w:t>50</w:t>
            </w:r>
            <w:r>
              <w:rPr>
                <w:noProof/>
                <w:webHidden/>
              </w:rPr>
              <w:fldChar w:fldCharType="end"/>
            </w:r>
          </w:hyperlink>
        </w:p>
        <w:p w14:paraId="5824FD26" w14:textId="616D9E0A" w:rsidR="00250081" w:rsidRDefault="00250081">
          <w:pPr>
            <w:pStyle w:val="TOC3"/>
            <w:tabs>
              <w:tab w:val="left" w:pos="1100"/>
              <w:tab w:val="right" w:leader="dot" w:pos="9174"/>
            </w:tabs>
            <w:rPr>
              <w:rFonts w:asciiTheme="minorHAnsi" w:eastAsiaTheme="minorEastAsia" w:hAnsiTheme="minorHAnsi" w:cstheme="minorBidi"/>
              <w:noProof/>
              <w:sz w:val="22"/>
              <w:szCs w:val="22"/>
              <w:lang w:val="cs-CZ"/>
            </w:rPr>
          </w:pPr>
          <w:hyperlink w:anchor="_Toc87348770" w:history="1">
            <w:r w:rsidRPr="009E36F7">
              <w:rPr>
                <w:rStyle w:val="Hyperlink"/>
                <w:noProof/>
              </w:rPr>
              <w:t>9.3.5</w:t>
            </w:r>
            <w:r>
              <w:rPr>
                <w:rFonts w:asciiTheme="minorHAnsi" w:eastAsiaTheme="minorEastAsia" w:hAnsiTheme="minorHAnsi" w:cstheme="minorBidi"/>
                <w:noProof/>
                <w:sz w:val="22"/>
                <w:szCs w:val="22"/>
                <w:lang w:val="cs-CZ"/>
              </w:rPr>
              <w:tab/>
            </w:r>
            <w:r w:rsidRPr="009E36F7">
              <w:rPr>
                <w:rStyle w:val="Hyperlink"/>
                <w:noProof/>
              </w:rPr>
              <w:t>Výsledky Ekonomickej analýzy – Variant 2</w:t>
            </w:r>
            <w:r>
              <w:rPr>
                <w:noProof/>
                <w:webHidden/>
              </w:rPr>
              <w:tab/>
            </w:r>
            <w:r>
              <w:rPr>
                <w:noProof/>
                <w:webHidden/>
              </w:rPr>
              <w:fldChar w:fldCharType="begin"/>
            </w:r>
            <w:r>
              <w:rPr>
                <w:noProof/>
                <w:webHidden/>
              </w:rPr>
              <w:instrText xml:space="preserve"> PAGEREF _Toc87348770 \h </w:instrText>
            </w:r>
            <w:r>
              <w:rPr>
                <w:noProof/>
                <w:webHidden/>
              </w:rPr>
            </w:r>
            <w:r>
              <w:rPr>
                <w:noProof/>
                <w:webHidden/>
              </w:rPr>
              <w:fldChar w:fldCharType="separate"/>
            </w:r>
            <w:r w:rsidR="00C32F51">
              <w:rPr>
                <w:noProof/>
                <w:webHidden/>
              </w:rPr>
              <w:t>50</w:t>
            </w:r>
            <w:r>
              <w:rPr>
                <w:noProof/>
                <w:webHidden/>
              </w:rPr>
              <w:fldChar w:fldCharType="end"/>
            </w:r>
          </w:hyperlink>
        </w:p>
        <w:p w14:paraId="1E108D39" w14:textId="64611BA8" w:rsidR="00250081" w:rsidRDefault="00250081">
          <w:pPr>
            <w:pStyle w:val="TOC1"/>
            <w:tabs>
              <w:tab w:val="left" w:pos="660"/>
              <w:tab w:val="right" w:leader="dot" w:pos="9174"/>
            </w:tabs>
            <w:rPr>
              <w:rFonts w:asciiTheme="minorHAnsi" w:eastAsiaTheme="minorEastAsia" w:hAnsiTheme="minorHAnsi" w:cstheme="minorBidi"/>
              <w:noProof/>
              <w:sz w:val="22"/>
              <w:szCs w:val="22"/>
              <w:lang w:val="cs-CZ"/>
            </w:rPr>
          </w:pPr>
          <w:hyperlink w:anchor="_Toc87348771" w:history="1">
            <w:r w:rsidRPr="009E36F7">
              <w:rPr>
                <w:rStyle w:val="Hyperlink"/>
                <w:noProof/>
              </w:rPr>
              <w:t>10</w:t>
            </w:r>
            <w:r>
              <w:rPr>
                <w:rFonts w:asciiTheme="minorHAnsi" w:eastAsiaTheme="minorEastAsia" w:hAnsiTheme="minorHAnsi" w:cstheme="minorBidi"/>
                <w:noProof/>
                <w:sz w:val="22"/>
                <w:szCs w:val="22"/>
                <w:lang w:val="cs-CZ"/>
              </w:rPr>
              <w:tab/>
            </w:r>
            <w:r w:rsidRPr="009E36F7">
              <w:rPr>
                <w:rStyle w:val="Hyperlink"/>
                <w:noProof/>
              </w:rPr>
              <w:t>Analýza citlivosti</w:t>
            </w:r>
            <w:r>
              <w:rPr>
                <w:noProof/>
                <w:webHidden/>
              </w:rPr>
              <w:tab/>
            </w:r>
            <w:r>
              <w:rPr>
                <w:noProof/>
                <w:webHidden/>
              </w:rPr>
              <w:fldChar w:fldCharType="begin"/>
            </w:r>
            <w:r>
              <w:rPr>
                <w:noProof/>
                <w:webHidden/>
              </w:rPr>
              <w:instrText xml:space="preserve"> PAGEREF _Toc87348771 \h </w:instrText>
            </w:r>
            <w:r>
              <w:rPr>
                <w:noProof/>
                <w:webHidden/>
              </w:rPr>
            </w:r>
            <w:r>
              <w:rPr>
                <w:noProof/>
                <w:webHidden/>
              </w:rPr>
              <w:fldChar w:fldCharType="separate"/>
            </w:r>
            <w:r w:rsidR="00C32F51">
              <w:rPr>
                <w:noProof/>
                <w:webHidden/>
              </w:rPr>
              <w:t>52</w:t>
            </w:r>
            <w:r>
              <w:rPr>
                <w:noProof/>
                <w:webHidden/>
              </w:rPr>
              <w:fldChar w:fldCharType="end"/>
            </w:r>
          </w:hyperlink>
        </w:p>
        <w:p w14:paraId="7C068531" w14:textId="43155D6D"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72" w:history="1">
            <w:r w:rsidRPr="009E36F7">
              <w:rPr>
                <w:rStyle w:val="Hyperlink"/>
                <w:noProof/>
              </w:rPr>
              <w:t>10.1</w:t>
            </w:r>
            <w:r>
              <w:rPr>
                <w:rFonts w:asciiTheme="minorHAnsi" w:eastAsiaTheme="minorEastAsia" w:hAnsiTheme="minorHAnsi" w:cstheme="minorBidi"/>
                <w:noProof/>
                <w:sz w:val="22"/>
                <w:szCs w:val="22"/>
                <w:lang w:val="cs-CZ"/>
              </w:rPr>
              <w:tab/>
            </w:r>
            <w:r w:rsidRPr="009E36F7">
              <w:rPr>
                <w:rStyle w:val="Hyperlink"/>
                <w:noProof/>
              </w:rPr>
              <w:t>Variant 1</w:t>
            </w:r>
            <w:r>
              <w:rPr>
                <w:noProof/>
                <w:webHidden/>
              </w:rPr>
              <w:tab/>
            </w:r>
            <w:r>
              <w:rPr>
                <w:noProof/>
                <w:webHidden/>
              </w:rPr>
              <w:fldChar w:fldCharType="begin"/>
            </w:r>
            <w:r>
              <w:rPr>
                <w:noProof/>
                <w:webHidden/>
              </w:rPr>
              <w:instrText xml:space="preserve"> PAGEREF _Toc87348772 \h </w:instrText>
            </w:r>
            <w:r>
              <w:rPr>
                <w:noProof/>
                <w:webHidden/>
              </w:rPr>
            </w:r>
            <w:r>
              <w:rPr>
                <w:noProof/>
                <w:webHidden/>
              </w:rPr>
              <w:fldChar w:fldCharType="separate"/>
            </w:r>
            <w:r w:rsidR="00C32F51">
              <w:rPr>
                <w:noProof/>
                <w:webHidden/>
              </w:rPr>
              <w:t>52</w:t>
            </w:r>
            <w:r>
              <w:rPr>
                <w:noProof/>
                <w:webHidden/>
              </w:rPr>
              <w:fldChar w:fldCharType="end"/>
            </w:r>
          </w:hyperlink>
        </w:p>
        <w:p w14:paraId="21309F90" w14:textId="1CD3415D"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73" w:history="1">
            <w:r w:rsidRPr="009E36F7">
              <w:rPr>
                <w:rStyle w:val="Hyperlink"/>
                <w:noProof/>
              </w:rPr>
              <w:t>10.2</w:t>
            </w:r>
            <w:r>
              <w:rPr>
                <w:rFonts w:asciiTheme="minorHAnsi" w:eastAsiaTheme="minorEastAsia" w:hAnsiTheme="minorHAnsi" w:cstheme="minorBidi"/>
                <w:noProof/>
                <w:sz w:val="22"/>
                <w:szCs w:val="22"/>
                <w:lang w:val="cs-CZ"/>
              </w:rPr>
              <w:tab/>
            </w:r>
            <w:r w:rsidRPr="009E36F7">
              <w:rPr>
                <w:rStyle w:val="Hyperlink"/>
                <w:noProof/>
              </w:rPr>
              <w:t>Variant 2</w:t>
            </w:r>
            <w:r>
              <w:rPr>
                <w:noProof/>
                <w:webHidden/>
              </w:rPr>
              <w:tab/>
            </w:r>
            <w:r>
              <w:rPr>
                <w:noProof/>
                <w:webHidden/>
              </w:rPr>
              <w:fldChar w:fldCharType="begin"/>
            </w:r>
            <w:r>
              <w:rPr>
                <w:noProof/>
                <w:webHidden/>
              </w:rPr>
              <w:instrText xml:space="preserve"> PAGEREF _Toc87348773 \h </w:instrText>
            </w:r>
            <w:r>
              <w:rPr>
                <w:noProof/>
                <w:webHidden/>
              </w:rPr>
            </w:r>
            <w:r>
              <w:rPr>
                <w:noProof/>
                <w:webHidden/>
              </w:rPr>
              <w:fldChar w:fldCharType="separate"/>
            </w:r>
            <w:r w:rsidR="00C32F51">
              <w:rPr>
                <w:noProof/>
                <w:webHidden/>
              </w:rPr>
              <w:t>54</w:t>
            </w:r>
            <w:r>
              <w:rPr>
                <w:noProof/>
                <w:webHidden/>
              </w:rPr>
              <w:fldChar w:fldCharType="end"/>
            </w:r>
          </w:hyperlink>
        </w:p>
        <w:p w14:paraId="61662D67" w14:textId="02663E45" w:rsidR="00250081" w:rsidRDefault="00250081">
          <w:pPr>
            <w:pStyle w:val="TOC2"/>
            <w:tabs>
              <w:tab w:val="left" w:pos="880"/>
              <w:tab w:val="right" w:leader="dot" w:pos="9174"/>
            </w:tabs>
            <w:rPr>
              <w:rFonts w:asciiTheme="minorHAnsi" w:eastAsiaTheme="minorEastAsia" w:hAnsiTheme="minorHAnsi" w:cstheme="minorBidi"/>
              <w:noProof/>
              <w:sz w:val="22"/>
              <w:szCs w:val="22"/>
              <w:lang w:val="cs-CZ"/>
            </w:rPr>
          </w:pPr>
          <w:hyperlink w:anchor="_Toc87348774" w:history="1">
            <w:r w:rsidRPr="009E36F7">
              <w:rPr>
                <w:rStyle w:val="Hyperlink"/>
                <w:noProof/>
              </w:rPr>
              <w:t>10.3</w:t>
            </w:r>
            <w:r>
              <w:rPr>
                <w:rFonts w:asciiTheme="minorHAnsi" w:eastAsiaTheme="minorEastAsia" w:hAnsiTheme="minorHAnsi" w:cstheme="minorBidi"/>
                <w:noProof/>
                <w:sz w:val="22"/>
                <w:szCs w:val="22"/>
                <w:lang w:val="cs-CZ"/>
              </w:rPr>
              <w:tab/>
            </w:r>
            <w:r w:rsidRPr="009E36F7">
              <w:rPr>
                <w:rStyle w:val="Hyperlink"/>
                <w:noProof/>
              </w:rPr>
              <w:t>Zhrnutie výsledkov citlivostnej analýzy</w:t>
            </w:r>
            <w:r>
              <w:rPr>
                <w:noProof/>
                <w:webHidden/>
              </w:rPr>
              <w:tab/>
            </w:r>
            <w:r>
              <w:rPr>
                <w:noProof/>
                <w:webHidden/>
              </w:rPr>
              <w:fldChar w:fldCharType="begin"/>
            </w:r>
            <w:r>
              <w:rPr>
                <w:noProof/>
                <w:webHidden/>
              </w:rPr>
              <w:instrText xml:space="preserve"> PAGEREF _Toc87348774 \h </w:instrText>
            </w:r>
            <w:r>
              <w:rPr>
                <w:noProof/>
                <w:webHidden/>
              </w:rPr>
            </w:r>
            <w:r>
              <w:rPr>
                <w:noProof/>
                <w:webHidden/>
              </w:rPr>
              <w:fldChar w:fldCharType="separate"/>
            </w:r>
            <w:r w:rsidR="00C32F51">
              <w:rPr>
                <w:noProof/>
                <w:webHidden/>
              </w:rPr>
              <w:t>55</w:t>
            </w:r>
            <w:r>
              <w:rPr>
                <w:noProof/>
                <w:webHidden/>
              </w:rPr>
              <w:fldChar w:fldCharType="end"/>
            </w:r>
          </w:hyperlink>
        </w:p>
        <w:p w14:paraId="27E8BD4F" w14:textId="7FA6E38B" w:rsidR="00250081" w:rsidRDefault="00250081">
          <w:pPr>
            <w:pStyle w:val="TOC1"/>
            <w:tabs>
              <w:tab w:val="left" w:pos="660"/>
              <w:tab w:val="right" w:leader="dot" w:pos="9174"/>
            </w:tabs>
            <w:rPr>
              <w:rFonts w:asciiTheme="minorHAnsi" w:eastAsiaTheme="minorEastAsia" w:hAnsiTheme="minorHAnsi" w:cstheme="minorBidi"/>
              <w:noProof/>
              <w:sz w:val="22"/>
              <w:szCs w:val="22"/>
              <w:lang w:val="cs-CZ"/>
            </w:rPr>
          </w:pPr>
          <w:hyperlink w:anchor="_Toc87348775" w:history="1">
            <w:r w:rsidRPr="009E36F7">
              <w:rPr>
                <w:rStyle w:val="Hyperlink"/>
                <w:noProof/>
              </w:rPr>
              <w:t>11</w:t>
            </w:r>
            <w:r>
              <w:rPr>
                <w:rFonts w:asciiTheme="minorHAnsi" w:eastAsiaTheme="minorEastAsia" w:hAnsiTheme="minorHAnsi" w:cstheme="minorBidi"/>
                <w:noProof/>
                <w:sz w:val="22"/>
                <w:szCs w:val="22"/>
                <w:lang w:val="cs-CZ"/>
              </w:rPr>
              <w:tab/>
            </w:r>
            <w:r w:rsidRPr="009E36F7">
              <w:rPr>
                <w:rStyle w:val="Hyperlink"/>
                <w:noProof/>
              </w:rPr>
              <w:t>Závery</w:t>
            </w:r>
            <w:r>
              <w:rPr>
                <w:noProof/>
                <w:webHidden/>
              </w:rPr>
              <w:tab/>
            </w:r>
            <w:r>
              <w:rPr>
                <w:noProof/>
                <w:webHidden/>
              </w:rPr>
              <w:fldChar w:fldCharType="begin"/>
            </w:r>
            <w:r>
              <w:rPr>
                <w:noProof/>
                <w:webHidden/>
              </w:rPr>
              <w:instrText xml:space="preserve"> PAGEREF _Toc87348775 \h </w:instrText>
            </w:r>
            <w:r>
              <w:rPr>
                <w:noProof/>
                <w:webHidden/>
              </w:rPr>
            </w:r>
            <w:r>
              <w:rPr>
                <w:noProof/>
                <w:webHidden/>
              </w:rPr>
              <w:fldChar w:fldCharType="separate"/>
            </w:r>
            <w:r w:rsidR="00C32F51">
              <w:rPr>
                <w:noProof/>
                <w:webHidden/>
              </w:rPr>
              <w:t>57</w:t>
            </w:r>
            <w:r>
              <w:rPr>
                <w:noProof/>
                <w:webHidden/>
              </w:rPr>
              <w:fldChar w:fldCharType="end"/>
            </w:r>
          </w:hyperlink>
        </w:p>
        <w:p w14:paraId="26B340F7" w14:textId="49383BCF" w:rsidR="00250081" w:rsidRDefault="00250081">
          <w:pPr>
            <w:pStyle w:val="TOC1"/>
            <w:tabs>
              <w:tab w:val="left" w:pos="660"/>
              <w:tab w:val="right" w:leader="dot" w:pos="9174"/>
            </w:tabs>
            <w:rPr>
              <w:rFonts w:asciiTheme="minorHAnsi" w:eastAsiaTheme="minorEastAsia" w:hAnsiTheme="minorHAnsi" w:cstheme="minorBidi"/>
              <w:noProof/>
              <w:sz w:val="22"/>
              <w:szCs w:val="22"/>
              <w:lang w:val="cs-CZ"/>
            </w:rPr>
          </w:pPr>
          <w:hyperlink w:anchor="_Toc87348776" w:history="1">
            <w:r w:rsidRPr="009E36F7">
              <w:rPr>
                <w:rStyle w:val="Hyperlink"/>
                <w:noProof/>
              </w:rPr>
              <w:t>12</w:t>
            </w:r>
            <w:r>
              <w:rPr>
                <w:rFonts w:asciiTheme="minorHAnsi" w:eastAsiaTheme="minorEastAsia" w:hAnsiTheme="minorHAnsi" w:cstheme="minorBidi"/>
                <w:noProof/>
                <w:sz w:val="22"/>
                <w:szCs w:val="22"/>
                <w:lang w:val="cs-CZ"/>
              </w:rPr>
              <w:tab/>
            </w:r>
            <w:r w:rsidRPr="009E36F7">
              <w:rPr>
                <w:rStyle w:val="Hyperlink"/>
                <w:noProof/>
              </w:rPr>
              <w:t>Prílohy</w:t>
            </w:r>
            <w:r>
              <w:rPr>
                <w:noProof/>
                <w:webHidden/>
              </w:rPr>
              <w:tab/>
            </w:r>
            <w:r>
              <w:rPr>
                <w:noProof/>
                <w:webHidden/>
              </w:rPr>
              <w:fldChar w:fldCharType="begin"/>
            </w:r>
            <w:r>
              <w:rPr>
                <w:noProof/>
                <w:webHidden/>
              </w:rPr>
              <w:instrText xml:space="preserve"> PAGEREF _Toc87348776 \h </w:instrText>
            </w:r>
            <w:r>
              <w:rPr>
                <w:noProof/>
                <w:webHidden/>
              </w:rPr>
            </w:r>
            <w:r>
              <w:rPr>
                <w:noProof/>
                <w:webHidden/>
              </w:rPr>
              <w:fldChar w:fldCharType="separate"/>
            </w:r>
            <w:r w:rsidR="00C32F51">
              <w:rPr>
                <w:noProof/>
                <w:webHidden/>
              </w:rPr>
              <w:t>60</w:t>
            </w:r>
            <w:r>
              <w:rPr>
                <w:noProof/>
                <w:webHidden/>
              </w:rPr>
              <w:fldChar w:fldCharType="end"/>
            </w:r>
          </w:hyperlink>
        </w:p>
        <w:p w14:paraId="5E20E091" w14:textId="4A8462EA" w:rsidR="00EC0530" w:rsidRPr="00CA4505" w:rsidRDefault="00EC0530">
          <w:r w:rsidRPr="00CA4505">
            <w:rPr>
              <w:b/>
              <w:bCs/>
            </w:rPr>
            <w:fldChar w:fldCharType="end"/>
          </w:r>
        </w:p>
      </w:sdtContent>
    </w:sdt>
    <w:p w14:paraId="2DC3E40B" w14:textId="77777777" w:rsidR="00332B6F" w:rsidRDefault="00332B6F">
      <w:pPr>
        <w:pStyle w:val="Default"/>
        <w:jc w:val="both"/>
        <w:rPr>
          <w:b/>
          <w:sz w:val="20"/>
          <w:szCs w:val="20"/>
        </w:rPr>
      </w:pPr>
    </w:p>
    <w:p w14:paraId="42970EDA" w14:textId="75FA9207" w:rsidR="00C32F51" w:rsidRDefault="00C32F51">
      <w:pPr>
        <w:spacing w:before="0" w:after="0" w:line="240" w:lineRule="auto"/>
        <w:jc w:val="left"/>
        <w:rPr>
          <w:b/>
          <w:szCs w:val="20"/>
        </w:rPr>
      </w:pPr>
    </w:p>
    <w:p w14:paraId="28C0FE2C" w14:textId="0E650541" w:rsidR="00C32F51" w:rsidRDefault="00C32F51">
      <w:pPr>
        <w:spacing w:before="0" w:after="0" w:line="240" w:lineRule="auto"/>
        <w:jc w:val="left"/>
        <w:rPr>
          <w:b/>
          <w:szCs w:val="20"/>
        </w:rPr>
      </w:pPr>
    </w:p>
    <w:p w14:paraId="54873619" w14:textId="14266EA2" w:rsidR="00C32F51" w:rsidRDefault="00C32F51">
      <w:pPr>
        <w:spacing w:before="0" w:after="0" w:line="240" w:lineRule="auto"/>
        <w:jc w:val="left"/>
        <w:rPr>
          <w:b/>
          <w:szCs w:val="20"/>
        </w:rPr>
      </w:pPr>
    </w:p>
    <w:p w14:paraId="216EFB7E" w14:textId="101CC340" w:rsidR="00C32F51" w:rsidRDefault="00C32F51">
      <w:pPr>
        <w:spacing w:before="0" w:after="0" w:line="240" w:lineRule="auto"/>
        <w:jc w:val="left"/>
        <w:rPr>
          <w:b/>
          <w:szCs w:val="20"/>
        </w:rPr>
      </w:pPr>
    </w:p>
    <w:p w14:paraId="3A7B1716" w14:textId="713EC822" w:rsidR="00C32F51" w:rsidRDefault="00C32F51">
      <w:pPr>
        <w:spacing w:before="0" w:after="0" w:line="240" w:lineRule="auto"/>
        <w:jc w:val="left"/>
        <w:rPr>
          <w:b/>
          <w:szCs w:val="20"/>
        </w:rPr>
      </w:pPr>
    </w:p>
    <w:p w14:paraId="1090A80E" w14:textId="600D295C" w:rsidR="00C32F51" w:rsidRDefault="00C32F51">
      <w:pPr>
        <w:spacing w:before="0" w:after="0" w:line="240" w:lineRule="auto"/>
        <w:jc w:val="left"/>
        <w:rPr>
          <w:b/>
          <w:szCs w:val="20"/>
        </w:rPr>
      </w:pPr>
    </w:p>
    <w:p w14:paraId="73F8A255" w14:textId="0954BD19" w:rsidR="00C32F51" w:rsidRDefault="00C32F51">
      <w:pPr>
        <w:spacing w:before="0" w:after="0" w:line="240" w:lineRule="auto"/>
        <w:jc w:val="left"/>
        <w:rPr>
          <w:b/>
          <w:szCs w:val="20"/>
        </w:rPr>
      </w:pPr>
    </w:p>
    <w:p w14:paraId="12E7145E" w14:textId="6533CFF0" w:rsidR="00C32F51" w:rsidRDefault="00C32F51">
      <w:pPr>
        <w:spacing w:before="0" w:after="0" w:line="240" w:lineRule="auto"/>
        <w:jc w:val="left"/>
        <w:rPr>
          <w:b/>
          <w:szCs w:val="20"/>
        </w:rPr>
      </w:pPr>
    </w:p>
    <w:p w14:paraId="0FBD2646" w14:textId="5BAFB086" w:rsidR="00C32F51" w:rsidRDefault="00C32F51">
      <w:pPr>
        <w:spacing w:before="0" w:after="0" w:line="240" w:lineRule="auto"/>
        <w:jc w:val="left"/>
        <w:rPr>
          <w:b/>
          <w:szCs w:val="20"/>
        </w:rPr>
      </w:pPr>
    </w:p>
    <w:p w14:paraId="7E13D97F" w14:textId="12759221" w:rsidR="00C32F51" w:rsidRDefault="00C32F51">
      <w:pPr>
        <w:spacing w:before="0" w:after="0" w:line="240" w:lineRule="auto"/>
        <w:jc w:val="left"/>
        <w:rPr>
          <w:b/>
          <w:szCs w:val="20"/>
        </w:rPr>
      </w:pPr>
    </w:p>
    <w:p w14:paraId="4373B097" w14:textId="58AFDCF7" w:rsidR="00C32F51" w:rsidRDefault="00C32F51">
      <w:pPr>
        <w:spacing w:before="0" w:after="0" w:line="240" w:lineRule="auto"/>
        <w:jc w:val="left"/>
        <w:rPr>
          <w:b/>
          <w:szCs w:val="20"/>
        </w:rPr>
      </w:pPr>
    </w:p>
    <w:p w14:paraId="6DBCDD7F" w14:textId="436AC630" w:rsidR="00C32F51" w:rsidRDefault="00C32F51">
      <w:pPr>
        <w:spacing w:before="0" w:after="0" w:line="240" w:lineRule="auto"/>
        <w:jc w:val="left"/>
        <w:rPr>
          <w:b/>
          <w:szCs w:val="20"/>
        </w:rPr>
      </w:pPr>
    </w:p>
    <w:p w14:paraId="724203B0" w14:textId="77777777" w:rsidR="00C32F51" w:rsidRDefault="00C32F51">
      <w:pPr>
        <w:spacing w:before="0" w:after="0" w:line="240" w:lineRule="auto"/>
        <w:jc w:val="left"/>
        <w:rPr>
          <w:b/>
          <w:szCs w:val="20"/>
        </w:rPr>
      </w:pPr>
    </w:p>
    <w:p w14:paraId="29A2B78A" w14:textId="77777777" w:rsidR="00C32F51" w:rsidRDefault="00C32F51">
      <w:pPr>
        <w:spacing w:before="0" w:after="0" w:line="240" w:lineRule="auto"/>
        <w:jc w:val="left"/>
        <w:rPr>
          <w:b/>
          <w:szCs w:val="20"/>
        </w:rPr>
      </w:pPr>
    </w:p>
    <w:p w14:paraId="5A1894CB" w14:textId="794324F3" w:rsidR="00332B6F" w:rsidRDefault="00332B6F">
      <w:pPr>
        <w:spacing w:before="0" w:after="0" w:line="240" w:lineRule="auto"/>
        <w:jc w:val="left"/>
        <w:rPr>
          <w:rFonts w:cs="Arial"/>
          <w:b/>
          <w:color w:val="000000"/>
          <w:szCs w:val="20"/>
          <w:lang w:eastAsia="sk-SK"/>
        </w:rPr>
      </w:pPr>
    </w:p>
    <w:p w14:paraId="24C8587C" w14:textId="77777777" w:rsidR="00332B6F" w:rsidRDefault="00332B6F">
      <w:pPr>
        <w:pStyle w:val="Default"/>
        <w:jc w:val="both"/>
        <w:rPr>
          <w:b/>
          <w:sz w:val="20"/>
          <w:szCs w:val="20"/>
        </w:rPr>
      </w:pPr>
    </w:p>
    <w:p w14:paraId="66D8F9EB" w14:textId="583B31CA" w:rsidR="00D52E50" w:rsidRPr="00120BC0" w:rsidRDefault="00120BC0">
      <w:pPr>
        <w:pStyle w:val="Default"/>
        <w:jc w:val="both"/>
        <w:rPr>
          <w:sz w:val="20"/>
          <w:szCs w:val="20"/>
        </w:rPr>
      </w:pPr>
      <w:r w:rsidRPr="00120BC0">
        <w:rPr>
          <w:sz w:val="20"/>
          <w:szCs w:val="20"/>
        </w:rPr>
        <w:t>HISTÓRIA ZMIEN DOKUMENTU</w:t>
      </w:r>
    </w:p>
    <w:tbl>
      <w:tblPr>
        <w:tblW w:w="92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93"/>
        <w:gridCol w:w="1554"/>
        <w:gridCol w:w="1554"/>
        <w:gridCol w:w="5103"/>
      </w:tblGrid>
      <w:tr w:rsidR="00EF1CB7" w:rsidRPr="00120BC0" w14:paraId="7067917C" w14:textId="77777777" w:rsidTr="00EF1CB7">
        <w:trPr>
          <w:tblHeader/>
        </w:trPr>
        <w:tc>
          <w:tcPr>
            <w:tcW w:w="993" w:type="dxa"/>
            <w:shd w:val="clear" w:color="auto" w:fill="BDD6EE" w:themeFill="accent1" w:themeFillTint="66"/>
          </w:tcPr>
          <w:p w14:paraId="15630F3E" w14:textId="1AE3712D" w:rsidR="00EF1CB7" w:rsidRPr="00120BC0" w:rsidRDefault="00EF1CB7" w:rsidP="00F609CC">
            <w:pPr>
              <w:pStyle w:val="Texttabulky8pt"/>
              <w:rPr>
                <w:rFonts w:asciiTheme="minorHAnsi" w:hAnsiTheme="minorHAnsi"/>
                <w:sz w:val="18"/>
              </w:rPr>
            </w:pPr>
            <w:r w:rsidRPr="00120BC0">
              <w:rPr>
                <w:rFonts w:asciiTheme="minorHAnsi" w:hAnsiTheme="minorHAnsi"/>
                <w:sz w:val="18"/>
              </w:rPr>
              <w:t>Vydanie</w:t>
            </w:r>
          </w:p>
        </w:tc>
        <w:tc>
          <w:tcPr>
            <w:tcW w:w="1554" w:type="dxa"/>
            <w:shd w:val="clear" w:color="auto" w:fill="BDD6EE" w:themeFill="accent1" w:themeFillTint="66"/>
          </w:tcPr>
          <w:p w14:paraId="144C781F" w14:textId="2495183B" w:rsidR="00EF1CB7" w:rsidRPr="00120BC0" w:rsidRDefault="00EF1CB7" w:rsidP="00F609CC">
            <w:pPr>
              <w:pStyle w:val="Texttabulky8pt"/>
              <w:rPr>
                <w:rFonts w:asciiTheme="minorHAnsi" w:hAnsiTheme="minorHAnsi"/>
                <w:sz w:val="18"/>
              </w:rPr>
            </w:pPr>
            <w:r w:rsidRPr="00120BC0">
              <w:rPr>
                <w:rFonts w:asciiTheme="minorHAnsi" w:hAnsiTheme="minorHAnsi"/>
                <w:sz w:val="18"/>
              </w:rPr>
              <w:t>Dátum vydania</w:t>
            </w:r>
          </w:p>
        </w:tc>
        <w:tc>
          <w:tcPr>
            <w:tcW w:w="1554" w:type="dxa"/>
            <w:shd w:val="clear" w:color="auto" w:fill="BDD6EE" w:themeFill="accent1" w:themeFillTint="66"/>
          </w:tcPr>
          <w:p w14:paraId="504C9AC2" w14:textId="24EE0ED8" w:rsidR="00EF1CB7" w:rsidRPr="00120BC0" w:rsidRDefault="00EF1CB7" w:rsidP="00F609CC">
            <w:pPr>
              <w:pStyle w:val="Texttabulky8pt"/>
              <w:rPr>
                <w:rFonts w:asciiTheme="minorHAnsi" w:hAnsiTheme="minorHAnsi"/>
                <w:sz w:val="18"/>
              </w:rPr>
            </w:pPr>
            <w:r w:rsidRPr="00120BC0">
              <w:rPr>
                <w:rFonts w:asciiTheme="minorHAnsi" w:hAnsiTheme="minorHAnsi"/>
                <w:sz w:val="18"/>
              </w:rPr>
              <w:t>Stav dokumentu</w:t>
            </w:r>
          </w:p>
        </w:tc>
        <w:tc>
          <w:tcPr>
            <w:tcW w:w="5103" w:type="dxa"/>
            <w:shd w:val="clear" w:color="auto" w:fill="BDD6EE" w:themeFill="accent1" w:themeFillTint="66"/>
          </w:tcPr>
          <w:p w14:paraId="54A8F263" w14:textId="0A56E3D5" w:rsidR="00EF1CB7" w:rsidRPr="00120BC0" w:rsidRDefault="00EF1CB7" w:rsidP="00F609CC">
            <w:pPr>
              <w:pStyle w:val="Texttabulky8pt"/>
              <w:rPr>
                <w:rFonts w:asciiTheme="minorHAnsi" w:hAnsiTheme="minorHAnsi"/>
                <w:sz w:val="18"/>
              </w:rPr>
            </w:pPr>
            <w:r>
              <w:rPr>
                <w:rFonts w:asciiTheme="minorHAnsi" w:hAnsiTheme="minorHAnsi"/>
                <w:sz w:val="18"/>
              </w:rPr>
              <w:t>Poznámka</w:t>
            </w:r>
          </w:p>
        </w:tc>
      </w:tr>
      <w:tr w:rsidR="00EF1CB7" w:rsidRPr="00120BC0" w14:paraId="73FA4BF7" w14:textId="77777777" w:rsidTr="00EF1CB7">
        <w:tc>
          <w:tcPr>
            <w:tcW w:w="993" w:type="dxa"/>
          </w:tcPr>
          <w:p w14:paraId="56F95358" w14:textId="7871BB92" w:rsidR="00EF1CB7" w:rsidRDefault="00EF1CB7" w:rsidP="00FA44F8">
            <w:pPr>
              <w:pStyle w:val="Texttabulky8pt"/>
              <w:rPr>
                <w:rFonts w:asciiTheme="minorHAnsi" w:hAnsiTheme="minorHAnsi"/>
                <w:sz w:val="18"/>
              </w:rPr>
            </w:pPr>
            <w:r>
              <w:rPr>
                <w:rFonts w:asciiTheme="minorHAnsi" w:hAnsiTheme="minorHAnsi"/>
                <w:sz w:val="18"/>
              </w:rPr>
              <w:t>1.0</w:t>
            </w:r>
          </w:p>
        </w:tc>
        <w:tc>
          <w:tcPr>
            <w:tcW w:w="1554" w:type="dxa"/>
          </w:tcPr>
          <w:p w14:paraId="35FF3AB3" w14:textId="52C92DA4" w:rsidR="00EF1CB7" w:rsidRDefault="00EF1CB7" w:rsidP="00FA44F8">
            <w:pPr>
              <w:pStyle w:val="Texttabulky8pt"/>
              <w:rPr>
                <w:rFonts w:asciiTheme="minorHAnsi" w:hAnsiTheme="minorHAnsi"/>
                <w:sz w:val="18"/>
              </w:rPr>
            </w:pPr>
            <w:r>
              <w:rPr>
                <w:rFonts w:asciiTheme="minorHAnsi" w:hAnsiTheme="minorHAnsi"/>
                <w:sz w:val="18"/>
              </w:rPr>
              <w:t>15. 06. 2021</w:t>
            </w:r>
          </w:p>
        </w:tc>
        <w:tc>
          <w:tcPr>
            <w:tcW w:w="1554" w:type="dxa"/>
          </w:tcPr>
          <w:p w14:paraId="313E4617" w14:textId="32528833" w:rsidR="00EF1CB7" w:rsidRDefault="00EF1CB7" w:rsidP="00FA44F8">
            <w:pPr>
              <w:pStyle w:val="Texttabulky8pt"/>
              <w:rPr>
                <w:rFonts w:asciiTheme="minorHAnsi" w:hAnsiTheme="minorHAnsi"/>
                <w:sz w:val="18"/>
              </w:rPr>
            </w:pPr>
            <w:r>
              <w:rPr>
                <w:rFonts w:asciiTheme="minorHAnsi" w:hAnsiTheme="minorHAnsi"/>
                <w:sz w:val="18"/>
              </w:rPr>
              <w:t>Finálne vydanie</w:t>
            </w:r>
          </w:p>
        </w:tc>
        <w:tc>
          <w:tcPr>
            <w:tcW w:w="5103" w:type="dxa"/>
          </w:tcPr>
          <w:p w14:paraId="1B7BB5CD" w14:textId="43691B8B" w:rsidR="00EF1CB7" w:rsidRDefault="00EF1CB7" w:rsidP="00FA44F8">
            <w:pPr>
              <w:pStyle w:val="Texttabulky8pt"/>
              <w:rPr>
                <w:rFonts w:asciiTheme="minorHAnsi" w:hAnsiTheme="minorHAnsi"/>
                <w:sz w:val="18"/>
              </w:rPr>
            </w:pPr>
          </w:p>
        </w:tc>
      </w:tr>
      <w:tr w:rsidR="00EF1CB7" w:rsidRPr="00120BC0" w14:paraId="3358B3F5" w14:textId="77777777" w:rsidTr="00EF1CB7">
        <w:tc>
          <w:tcPr>
            <w:tcW w:w="993" w:type="dxa"/>
          </w:tcPr>
          <w:p w14:paraId="4B019847" w14:textId="07D214A3" w:rsidR="00EF1CB7" w:rsidRDefault="00EF1CB7" w:rsidP="00FA44F8">
            <w:pPr>
              <w:pStyle w:val="Texttabulky8pt"/>
              <w:rPr>
                <w:rFonts w:asciiTheme="minorHAnsi" w:hAnsiTheme="minorHAnsi"/>
                <w:sz w:val="18"/>
              </w:rPr>
            </w:pPr>
            <w:r>
              <w:rPr>
                <w:rFonts w:asciiTheme="minorHAnsi" w:hAnsiTheme="minorHAnsi"/>
                <w:sz w:val="18"/>
              </w:rPr>
              <w:t>2.0</w:t>
            </w:r>
          </w:p>
        </w:tc>
        <w:tc>
          <w:tcPr>
            <w:tcW w:w="1554" w:type="dxa"/>
          </w:tcPr>
          <w:p w14:paraId="173BB0EA" w14:textId="1DFCDCEF" w:rsidR="00EF1CB7" w:rsidRDefault="00EF1CB7" w:rsidP="00FA44F8">
            <w:pPr>
              <w:pStyle w:val="Texttabulky8pt"/>
              <w:rPr>
                <w:rFonts w:asciiTheme="minorHAnsi" w:hAnsiTheme="minorHAnsi"/>
                <w:sz w:val="18"/>
              </w:rPr>
            </w:pPr>
            <w:r>
              <w:rPr>
                <w:rFonts w:asciiTheme="minorHAnsi" w:hAnsiTheme="minorHAnsi"/>
                <w:sz w:val="18"/>
              </w:rPr>
              <w:t>09. 08. 2021</w:t>
            </w:r>
          </w:p>
        </w:tc>
        <w:tc>
          <w:tcPr>
            <w:tcW w:w="1554" w:type="dxa"/>
          </w:tcPr>
          <w:p w14:paraId="398A39F3" w14:textId="4B58A208" w:rsidR="00EF1CB7" w:rsidRDefault="00EF1CB7" w:rsidP="00FA44F8">
            <w:pPr>
              <w:pStyle w:val="Texttabulky8pt"/>
              <w:rPr>
                <w:rFonts w:asciiTheme="minorHAnsi" w:hAnsiTheme="minorHAnsi"/>
                <w:sz w:val="18"/>
              </w:rPr>
            </w:pPr>
            <w:r>
              <w:rPr>
                <w:rFonts w:asciiTheme="minorHAnsi" w:hAnsiTheme="minorHAnsi"/>
                <w:sz w:val="18"/>
              </w:rPr>
              <w:t>Návrh k pripomienkam</w:t>
            </w:r>
          </w:p>
        </w:tc>
        <w:tc>
          <w:tcPr>
            <w:tcW w:w="5103" w:type="dxa"/>
          </w:tcPr>
          <w:p w14:paraId="67FEC1AB" w14:textId="070FC6D4" w:rsidR="00EF1CB7" w:rsidRDefault="00EF1CB7" w:rsidP="00EF1CB7">
            <w:pPr>
              <w:pStyle w:val="Texttabulky8pt"/>
              <w:rPr>
                <w:rFonts w:asciiTheme="minorHAnsi" w:hAnsiTheme="minorHAnsi"/>
                <w:sz w:val="18"/>
              </w:rPr>
            </w:pPr>
            <w:r>
              <w:rPr>
                <w:rFonts w:asciiTheme="minorHAnsi" w:hAnsiTheme="minorHAnsi"/>
                <w:sz w:val="18"/>
              </w:rPr>
              <w:t xml:space="preserve">Rozšírenie o analýzu TCO subsystému Rozhranie EETS podľa metodiky UCWA a MIRRI 1.4 </w:t>
            </w:r>
          </w:p>
        </w:tc>
      </w:tr>
      <w:tr w:rsidR="00BB6B3F" w:rsidRPr="00120BC0" w14:paraId="28451ADC" w14:textId="77777777" w:rsidTr="00EF1CB7">
        <w:tc>
          <w:tcPr>
            <w:tcW w:w="993" w:type="dxa"/>
          </w:tcPr>
          <w:p w14:paraId="6981CD87" w14:textId="6DB2E440" w:rsidR="00BB6B3F" w:rsidRDefault="00BB6B3F" w:rsidP="00BB6B3F">
            <w:pPr>
              <w:pStyle w:val="Texttabulky8pt"/>
              <w:rPr>
                <w:rFonts w:asciiTheme="minorHAnsi" w:hAnsiTheme="minorHAnsi"/>
                <w:sz w:val="18"/>
              </w:rPr>
            </w:pPr>
            <w:r>
              <w:rPr>
                <w:rFonts w:asciiTheme="minorHAnsi" w:hAnsiTheme="minorHAnsi"/>
                <w:sz w:val="18"/>
              </w:rPr>
              <w:t>3.0</w:t>
            </w:r>
          </w:p>
        </w:tc>
        <w:tc>
          <w:tcPr>
            <w:tcW w:w="1554" w:type="dxa"/>
          </w:tcPr>
          <w:p w14:paraId="33B69D51" w14:textId="02EB6E14" w:rsidR="00BB6B3F" w:rsidRDefault="00BB6B3F" w:rsidP="00BB6B3F">
            <w:pPr>
              <w:pStyle w:val="Texttabulky8pt"/>
              <w:rPr>
                <w:rFonts w:asciiTheme="minorHAnsi" w:hAnsiTheme="minorHAnsi"/>
                <w:sz w:val="18"/>
              </w:rPr>
            </w:pPr>
            <w:r>
              <w:rPr>
                <w:rFonts w:asciiTheme="minorHAnsi" w:hAnsiTheme="minorHAnsi"/>
                <w:sz w:val="18"/>
              </w:rPr>
              <w:t>06. 09. 2021</w:t>
            </w:r>
          </w:p>
        </w:tc>
        <w:tc>
          <w:tcPr>
            <w:tcW w:w="1554" w:type="dxa"/>
          </w:tcPr>
          <w:p w14:paraId="7FBE0E21" w14:textId="1CEAAE70" w:rsidR="00BB6B3F" w:rsidRDefault="00BB6B3F" w:rsidP="00BB6B3F">
            <w:pPr>
              <w:pStyle w:val="Texttabulky8pt"/>
              <w:rPr>
                <w:rFonts w:asciiTheme="minorHAnsi" w:hAnsiTheme="minorHAnsi"/>
                <w:sz w:val="18"/>
              </w:rPr>
            </w:pPr>
            <w:r>
              <w:rPr>
                <w:rFonts w:asciiTheme="minorHAnsi" w:hAnsiTheme="minorHAnsi"/>
                <w:sz w:val="18"/>
              </w:rPr>
              <w:t>Finálne vydanie</w:t>
            </w:r>
          </w:p>
        </w:tc>
        <w:tc>
          <w:tcPr>
            <w:tcW w:w="5103" w:type="dxa"/>
          </w:tcPr>
          <w:p w14:paraId="393102CC" w14:textId="7232C8DE" w:rsidR="00BB6B3F" w:rsidRDefault="00BB6B3F" w:rsidP="00BB6B3F">
            <w:pPr>
              <w:pStyle w:val="Texttabulky8pt"/>
              <w:rPr>
                <w:rFonts w:asciiTheme="minorHAnsi" w:hAnsiTheme="minorHAnsi"/>
                <w:sz w:val="18"/>
              </w:rPr>
            </w:pPr>
            <w:r>
              <w:rPr>
                <w:rFonts w:asciiTheme="minorHAnsi" w:hAnsiTheme="minorHAnsi"/>
                <w:sz w:val="18"/>
              </w:rPr>
              <w:t>Zapracované pripomienky k v.2.0</w:t>
            </w:r>
          </w:p>
        </w:tc>
      </w:tr>
      <w:tr w:rsidR="00FD60B7" w:rsidRPr="00120BC0" w14:paraId="7A409D9B" w14:textId="77777777" w:rsidTr="00EF1CB7">
        <w:tc>
          <w:tcPr>
            <w:tcW w:w="993" w:type="dxa"/>
          </w:tcPr>
          <w:p w14:paraId="04766A55" w14:textId="03DCBCA2" w:rsidR="00FD60B7" w:rsidRDefault="00FD60B7" w:rsidP="00BB6B3F">
            <w:pPr>
              <w:pStyle w:val="Texttabulky8pt"/>
              <w:rPr>
                <w:rFonts w:asciiTheme="minorHAnsi" w:hAnsiTheme="minorHAnsi"/>
                <w:sz w:val="18"/>
              </w:rPr>
            </w:pPr>
            <w:r>
              <w:rPr>
                <w:rFonts w:asciiTheme="minorHAnsi" w:hAnsiTheme="minorHAnsi"/>
                <w:sz w:val="18"/>
              </w:rPr>
              <w:t>3.1</w:t>
            </w:r>
          </w:p>
        </w:tc>
        <w:tc>
          <w:tcPr>
            <w:tcW w:w="1554" w:type="dxa"/>
          </w:tcPr>
          <w:p w14:paraId="4DD9E1B9" w14:textId="124EF8FC" w:rsidR="00FD60B7" w:rsidRDefault="00FD60B7" w:rsidP="00366F12">
            <w:pPr>
              <w:pStyle w:val="Texttabulky8pt"/>
              <w:rPr>
                <w:rFonts w:asciiTheme="minorHAnsi" w:hAnsiTheme="minorHAnsi"/>
                <w:sz w:val="18"/>
              </w:rPr>
            </w:pPr>
            <w:r>
              <w:rPr>
                <w:rFonts w:asciiTheme="minorHAnsi" w:hAnsiTheme="minorHAnsi"/>
                <w:sz w:val="18"/>
              </w:rPr>
              <w:t>09. 11. 2021</w:t>
            </w:r>
          </w:p>
        </w:tc>
        <w:tc>
          <w:tcPr>
            <w:tcW w:w="1554" w:type="dxa"/>
          </w:tcPr>
          <w:p w14:paraId="3AB5526F" w14:textId="3F9C0BC8" w:rsidR="00FD60B7" w:rsidRDefault="00FD60B7" w:rsidP="00BB6B3F">
            <w:pPr>
              <w:pStyle w:val="Texttabulky8pt"/>
              <w:rPr>
                <w:rFonts w:asciiTheme="minorHAnsi" w:hAnsiTheme="minorHAnsi"/>
                <w:sz w:val="18"/>
              </w:rPr>
            </w:pPr>
            <w:r>
              <w:rPr>
                <w:rFonts w:asciiTheme="minorHAnsi" w:hAnsiTheme="minorHAnsi"/>
                <w:sz w:val="18"/>
              </w:rPr>
              <w:t>Aktualizované vydanie</w:t>
            </w:r>
          </w:p>
        </w:tc>
        <w:tc>
          <w:tcPr>
            <w:tcW w:w="5103" w:type="dxa"/>
          </w:tcPr>
          <w:p w14:paraId="59284DE1" w14:textId="7407FAE0" w:rsidR="00FD60B7" w:rsidRDefault="00FD60B7" w:rsidP="00BB6B3F">
            <w:pPr>
              <w:pStyle w:val="Texttabulky8pt"/>
              <w:rPr>
                <w:rFonts w:asciiTheme="minorHAnsi" w:hAnsiTheme="minorHAnsi"/>
                <w:sz w:val="18"/>
              </w:rPr>
            </w:pPr>
            <w:r>
              <w:rPr>
                <w:rFonts w:asciiTheme="minorHAnsi" w:hAnsiTheme="minorHAnsi"/>
                <w:sz w:val="18"/>
              </w:rPr>
              <w:t>Zapracované pripomienky k v.3.0</w:t>
            </w:r>
          </w:p>
        </w:tc>
      </w:tr>
    </w:tbl>
    <w:p w14:paraId="39D8499A" w14:textId="72FA863D" w:rsidR="00376673" w:rsidRDefault="00376673">
      <w:pPr>
        <w:pStyle w:val="Default"/>
        <w:jc w:val="both"/>
        <w:rPr>
          <w:sz w:val="20"/>
          <w:szCs w:val="20"/>
        </w:rPr>
      </w:pPr>
    </w:p>
    <w:p w14:paraId="0FFCD510" w14:textId="1E272612" w:rsidR="00C32F51" w:rsidRDefault="00C32F51">
      <w:pPr>
        <w:spacing w:before="0" w:after="0" w:line="240" w:lineRule="auto"/>
        <w:jc w:val="left"/>
        <w:rPr>
          <w:rFonts w:cs="Arial"/>
          <w:color w:val="000000"/>
          <w:szCs w:val="20"/>
          <w:lang w:eastAsia="sk-SK"/>
        </w:rPr>
      </w:pPr>
      <w:r>
        <w:rPr>
          <w:szCs w:val="20"/>
        </w:rPr>
        <w:br w:type="page"/>
      </w:r>
    </w:p>
    <w:p w14:paraId="1151AFD2" w14:textId="252AE665" w:rsidR="00AC6308" w:rsidRDefault="00E3086F" w:rsidP="00AC6308">
      <w:pPr>
        <w:pStyle w:val="Heading1"/>
      </w:pPr>
      <w:bookmarkStart w:id="1" w:name="_Toc23784283"/>
      <w:bookmarkStart w:id="2" w:name="_Ref30757437"/>
      <w:bookmarkStart w:id="3" w:name="_Toc87348684"/>
      <w:r>
        <w:lastRenderedPageBreak/>
        <w:t>Manažérske zhrnutie</w:t>
      </w:r>
      <w:bookmarkEnd w:id="3"/>
      <w:r w:rsidR="00AC6308" w:rsidRPr="00AC6308">
        <w:t xml:space="preserve"> </w:t>
      </w:r>
    </w:p>
    <w:p w14:paraId="2AA5B24E" w14:textId="44E03998" w:rsidR="000930D5" w:rsidRDefault="0008520D" w:rsidP="009200D0">
      <w:r>
        <w:t xml:space="preserve">Predmetom tejto analýzy nákladov a prínosov je projekt implementácie Európskej služby elektronického výberu mýta formou realizácie zmeny jestvujúcej Komplexnej služby elektronického výberu mýta. </w:t>
      </w:r>
      <w:r w:rsidR="00FD60B7">
        <w:t xml:space="preserve">Hlavným dôvodom, prečo by mala byť implementácia EETS zakomponované do jestvujúcej Komplexnej služby elektronického výberu mýta už teraz je zmiernenie dopadov významného rizika kritického nedostatku palubných jednotiek, zapríčineného globálnym nedostatkom počítačových komponentov. </w:t>
      </w:r>
      <w:r w:rsidR="008971F8">
        <w:t>Projekt obsahuje vybudovanie rozhrania EETS</w:t>
      </w:r>
      <w:r w:rsidR="000930D5">
        <w:t xml:space="preserve"> pre objednávateľa a jeho integráciu do </w:t>
      </w:r>
      <w:r w:rsidR="008971F8">
        <w:t>Komplexnej služby elektronického výberu mýta</w:t>
      </w:r>
      <w:r w:rsidR="000930D5">
        <w:t>. Samotná Komplexná služba elektronického výberu mýta sa rozširuje o nové čiastkové služby, ktoré zahŕňajú: manažment zákazníkov EETS, spracovanie mýtnych transakcií vozidiel</w:t>
      </w:r>
      <w:r w:rsidR="000930D5" w:rsidRPr="00437B31">
        <w:t xml:space="preserve"> E</w:t>
      </w:r>
      <w:r w:rsidR="000930D5">
        <w:t xml:space="preserve">ETS, vyúčtovanie súhrnnej úhrady mýta poskytovateľom EETS, kontrolu dodržiavania povinností </w:t>
      </w:r>
      <w:r w:rsidR="009200D0">
        <w:t xml:space="preserve">vodičov a </w:t>
      </w:r>
      <w:r w:rsidR="000930D5">
        <w:t>p</w:t>
      </w:r>
      <w:r w:rsidR="000930D5" w:rsidRPr="00437B31">
        <w:t>revádzkovateľ</w:t>
      </w:r>
      <w:r w:rsidR="000930D5">
        <w:t>ov</w:t>
      </w:r>
      <w:r w:rsidR="000930D5" w:rsidRPr="00437B31">
        <w:t xml:space="preserve"> vozid</w:t>
      </w:r>
      <w:r w:rsidR="000930D5">
        <w:t>ie</w:t>
      </w:r>
      <w:r w:rsidR="000930D5" w:rsidRPr="00437B31">
        <w:t>l</w:t>
      </w:r>
      <w:r w:rsidR="000930D5">
        <w:t xml:space="preserve"> EETS</w:t>
      </w:r>
      <w:r w:rsidR="009200D0">
        <w:t xml:space="preserve"> na úseku úhrady mýta</w:t>
      </w:r>
      <w:r w:rsidR="000930D5">
        <w:t xml:space="preserve">, prevádzkovanie a údržbu </w:t>
      </w:r>
      <w:r w:rsidR="00806FA5">
        <w:t xml:space="preserve">IKT </w:t>
      </w:r>
      <w:r w:rsidR="000930D5">
        <w:t xml:space="preserve">infraštruktúry </w:t>
      </w:r>
      <w:r w:rsidR="00806FA5">
        <w:t xml:space="preserve">Rozhrania </w:t>
      </w:r>
      <w:r w:rsidR="000930D5">
        <w:t>EETS</w:t>
      </w:r>
      <w:r w:rsidR="00806FA5">
        <w:t>, ktorá bude dodaná</w:t>
      </w:r>
      <w:r w:rsidR="000930D5">
        <w:t xml:space="preserve"> </w:t>
      </w:r>
      <w:r w:rsidR="00806FA5">
        <w:t xml:space="preserve">do vlastníctva </w:t>
      </w:r>
      <w:r w:rsidR="000930D5">
        <w:t>NDS.</w:t>
      </w:r>
    </w:p>
    <w:p w14:paraId="4612A4BF" w14:textId="34D64C3B" w:rsidR="0008520D" w:rsidRDefault="0008520D" w:rsidP="0008520D">
      <w:r>
        <w:t>Analýza vychádza z podmienok novelizovanej Smernice 2019/520/EÚ, ktorá priznáva nárok poskytovateľov EETS na odmenu za poskytované služby na základe transparentných a rovn</w:t>
      </w:r>
      <w:r w:rsidR="00DC00BC">
        <w:t>ak</w:t>
      </w:r>
      <w:r>
        <w:t xml:space="preserve">ých podmienok a právo </w:t>
      </w:r>
      <w:r w:rsidR="00B324B6">
        <w:t>Správc</w:t>
      </w:r>
      <w:r>
        <w:t>u výberu mýta odpočítať od odmeny poskytovateľa EETS náklady na zabezpečenie EETS.</w:t>
      </w:r>
    </w:p>
    <w:p w14:paraId="204671DF" w14:textId="031E2EFD" w:rsidR="0008520D" w:rsidRDefault="0008520D" w:rsidP="0008520D">
      <w:r>
        <w:t>V rámci analýzy boli posudzované nižšie uvedené varianty:</w:t>
      </w:r>
    </w:p>
    <w:p w14:paraId="7C7010CF" w14:textId="619DDEF6" w:rsidR="00613C8F" w:rsidRDefault="0008520D" w:rsidP="00480B97">
      <w:pPr>
        <w:pStyle w:val="ListParagraph"/>
        <w:numPr>
          <w:ilvl w:val="0"/>
          <w:numId w:val="33"/>
        </w:numPr>
      </w:pPr>
      <w:r>
        <w:t>Variant 1 – odmena poskytovateľov EETS sa odvíja od počtu spracovaných mýtnych transakcií na základe dát, odovzdaných poskytovateľom EETS</w:t>
      </w:r>
      <w:r w:rsidR="00613C8F">
        <w:t>, a to za rovnakých podmienok, ako sa vzťahujú na odmenu za plnenie kvantitatívneho rozsahu podľa Zmluvy ETC SkyToll, pričom náklady na zavedenie a prevádzku EETS budú pokryté z výberu mýta;</w:t>
      </w:r>
    </w:p>
    <w:p w14:paraId="53255EB6" w14:textId="60B9C60B" w:rsidR="00613C8F" w:rsidRDefault="00613C8F" w:rsidP="00480B97">
      <w:pPr>
        <w:pStyle w:val="ListParagraph"/>
        <w:numPr>
          <w:ilvl w:val="0"/>
          <w:numId w:val="33"/>
        </w:numPr>
      </w:pPr>
      <w:r>
        <w:t xml:space="preserve">Variant 2 – odmena poskytovateľov EETS je stanovená </w:t>
      </w:r>
      <w:r w:rsidR="00EC664E">
        <w:t xml:space="preserve">pevne daným </w:t>
      </w:r>
      <w:r>
        <w:t>percentom z</w:t>
      </w:r>
      <w:r w:rsidR="00EC664E">
        <w:t xml:space="preserve"> sumy </w:t>
      </w:r>
      <w:r>
        <w:t xml:space="preserve">vybraného mýta daného poskytovateľa, od ktorej sa odpočíta alikvotná suma nákladov </w:t>
      </w:r>
      <w:r w:rsidR="00B324B6">
        <w:t>Správc</w:t>
      </w:r>
      <w:r>
        <w:t>u výberu mýta na zavedenie a prevádzku EETS.</w:t>
      </w:r>
    </w:p>
    <w:p w14:paraId="51EF7986" w14:textId="1B7DB903" w:rsidR="00F47DD3" w:rsidRDefault="00F47DD3" w:rsidP="00480B97">
      <w:pPr>
        <w:pStyle w:val="ListParagraph"/>
        <w:numPr>
          <w:ilvl w:val="0"/>
          <w:numId w:val="33"/>
        </w:numPr>
      </w:pPr>
      <w:r>
        <w:t>a na doplnenie bol spracovaný nezávislý odhad nákladov na realizáciu a prevádzku IKT infraštruktúry Rozhrania EETS ako samostatného subsystému s použitím metodiky UCWA a metodických odporúčaní MIRRI.</w:t>
      </w:r>
    </w:p>
    <w:p w14:paraId="60D89DBE" w14:textId="58234201" w:rsidR="00EC664E" w:rsidRDefault="00EC664E" w:rsidP="00613C8F">
      <w:r>
        <w:t xml:space="preserve">Oba varianty 1 a 2 vykazujú veľmi blízke výsledky finančnej a ekonomickej analýzy (rozdiel </w:t>
      </w:r>
      <w:r w:rsidR="00BB6B3F">
        <w:t>menej ako 0,</w:t>
      </w:r>
      <w:r w:rsidR="00FD60B7">
        <w:t xml:space="preserve">5 </w:t>
      </w:r>
      <w:r w:rsidR="00BB6B3F">
        <w:t>% pri porovnaní ekonomickej čistej súčasnej hodnoty investície</w:t>
      </w:r>
      <w:r>
        <w:t>).</w:t>
      </w:r>
    </w:p>
    <w:p w14:paraId="1B432635" w14:textId="335BB918" w:rsidR="00613C8F" w:rsidRDefault="00613C8F" w:rsidP="00613C8F">
      <w:r>
        <w:t>Navrhnuté varianty 1 a 2 boli porovnávané s nulovým variantom – variant bez projektu. Variant 1 sa ukazuje ako menej vhodný na realizáciu, pretože:</w:t>
      </w:r>
    </w:p>
    <w:p w14:paraId="228C6CAA" w14:textId="512F91F7" w:rsidR="00613C8F" w:rsidRDefault="00613C8F" w:rsidP="00480B97">
      <w:pPr>
        <w:pStyle w:val="ListParagraph"/>
        <w:numPr>
          <w:ilvl w:val="0"/>
          <w:numId w:val="34"/>
        </w:numPr>
      </w:pPr>
      <w:r>
        <w:t xml:space="preserve">vykazuje </w:t>
      </w:r>
      <w:r w:rsidR="00EC664E">
        <w:t>nestabilitu ekonomických parametrov a ich silnejšiu závislosť na váženej priemernej sadzbe mýta a  ročných dopravných výkono</w:t>
      </w:r>
      <w:r w:rsidR="00A275EA">
        <w:t>ch</w:t>
      </w:r>
      <w:r w:rsidR="00EC664E">
        <w:t xml:space="preserve"> </w:t>
      </w:r>
      <w:r w:rsidR="00A275EA">
        <w:t xml:space="preserve">realizovaných </w:t>
      </w:r>
      <w:r w:rsidR="00EC664E">
        <w:t>vozidlami podliehajúcimi úhrade mýta</w:t>
      </w:r>
      <w:r>
        <w:t>,</w:t>
      </w:r>
    </w:p>
    <w:p w14:paraId="0088CE65" w14:textId="28FF8088" w:rsidR="00613C8F" w:rsidRDefault="00613C8F" w:rsidP="00480B97">
      <w:pPr>
        <w:pStyle w:val="ListParagraph"/>
        <w:numPr>
          <w:ilvl w:val="0"/>
          <w:numId w:val="34"/>
        </w:numPr>
      </w:pPr>
      <w:r>
        <w:t xml:space="preserve">nie je aplikovaný odpočet nákladov </w:t>
      </w:r>
      <w:r w:rsidR="00B324B6">
        <w:t>Správc</w:t>
      </w:r>
      <w:r>
        <w:t>u výberu mýta z odmeny poskytovateľov EETS,</w:t>
      </w:r>
    </w:p>
    <w:p w14:paraId="043C6F64" w14:textId="054E0AA2" w:rsidR="00613C8F" w:rsidRDefault="00613C8F" w:rsidP="00480B97">
      <w:pPr>
        <w:pStyle w:val="ListParagraph"/>
        <w:numPr>
          <w:ilvl w:val="0"/>
          <w:numId w:val="34"/>
        </w:numPr>
      </w:pPr>
      <w:r>
        <w:t>vyžaduje zvýšenie sadzieb mýta na pokrytie nákladov EETS,</w:t>
      </w:r>
    </w:p>
    <w:p w14:paraId="35F10B7B" w14:textId="77777777" w:rsidR="00FD60B7" w:rsidRDefault="00613C8F" w:rsidP="00480B97">
      <w:pPr>
        <w:pStyle w:val="ListParagraph"/>
        <w:numPr>
          <w:ilvl w:val="0"/>
          <w:numId w:val="34"/>
        </w:numPr>
      </w:pPr>
      <w:r>
        <w:t>a tak náklady na EETS nakoniec znášajú všetci platitelia mýta</w:t>
      </w:r>
      <w:r w:rsidR="00FD60B7">
        <w:t>,</w:t>
      </w:r>
    </w:p>
    <w:p w14:paraId="224992E0" w14:textId="66FC1C6B" w:rsidR="001373EA" w:rsidRDefault="00FD60B7" w:rsidP="00480B97">
      <w:pPr>
        <w:pStyle w:val="ListParagraph"/>
        <w:numPr>
          <w:ilvl w:val="0"/>
          <w:numId w:val="34"/>
        </w:numPr>
      </w:pPr>
      <w:r>
        <w:t>je ekonomicky nákladnejší a menej efektívny</w:t>
      </w:r>
      <w:r w:rsidR="001373EA">
        <w:t>.</w:t>
      </w:r>
    </w:p>
    <w:p w14:paraId="44787D4C" w14:textId="4EA45DAF" w:rsidR="001373EA" w:rsidRDefault="001373EA" w:rsidP="001373EA">
      <w:r>
        <w:t xml:space="preserve">Variant 2 </w:t>
      </w:r>
      <w:r w:rsidR="00132E0C">
        <w:t>je viac vhodný na realizáciu</w:t>
      </w:r>
      <w:r>
        <w:t>, pretože:</w:t>
      </w:r>
    </w:p>
    <w:p w14:paraId="22C047CD" w14:textId="33D8B629" w:rsidR="00EC664E" w:rsidRDefault="00EC664E" w:rsidP="00480B97">
      <w:pPr>
        <w:pStyle w:val="ListParagraph"/>
        <w:numPr>
          <w:ilvl w:val="0"/>
          <w:numId w:val="35"/>
        </w:numPr>
      </w:pPr>
      <w:r>
        <w:t>prináša vyššiu mieru motivácie poskytovateľov EETS k zabezpeč</w:t>
      </w:r>
      <w:r w:rsidR="00A275EA">
        <w:t>ova</w:t>
      </w:r>
      <w:r>
        <w:t>n</w:t>
      </w:r>
      <w:r w:rsidR="00A275EA">
        <w:t>iu</w:t>
      </w:r>
      <w:r>
        <w:t xml:space="preserve"> služieb pre Slovenskú republiku,</w:t>
      </w:r>
    </w:p>
    <w:p w14:paraId="587CF148" w14:textId="13D98F85" w:rsidR="00132E0C" w:rsidRDefault="00132E0C" w:rsidP="00480B97">
      <w:pPr>
        <w:pStyle w:val="ListParagraph"/>
        <w:numPr>
          <w:ilvl w:val="0"/>
          <w:numId w:val="35"/>
        </w:numPr>
      </w:pPr>
      <w:r>
        <w:t xml:space="preserve">je aplikovaný odpočet nákladov </w:t>
      </w:r>
      <w:r w:rsidR="00B324B6">
        <w:t>Správc</w:t>
      </w:r>
      <w:r>
        <w:t>u výberu mýta z odmeny poskytovateľov EETS, a tieto náklady neznášajú platitelia mýta,</w:t>
      </w:r>
    </w:p>
    <w:p w14:paraId="45115B5A" w14:textId="3F1EA875" w:rsidR="001373EA" w:rsidRDefault="001373EA" w:rsidP="00480B97">
      <w:pPr>
        <w:pStyle w:val="ListParagraph"/>
        <w:numPr>
          <w:ilvl w:val="0"/>
          <w:numId w:val="35"/>
        </w:numPr>
      </w:pPr>
      <w:r>
        <w:t xml:space="preserve">vykazuje </w:t>
      </w:r>
      <w:r w:rsidR="00132E0C">
        <w:t>silnú stabilitu parametrov ekonomického modelu</w:t>
      </w:r>
      <w:r>
        <w:t>,</w:t>
      </w:r>
    </w:p>
    <w:p w14:paraId="0DF4A999" w14:textId="3CC75252" w:rsidR="001373EA" w:rsidRDefault="00132E0C" w:rsidP="00480B97">
      <w:pPr>
        <w:pStyle w:val="ListParagraph"/>
        <w:numPr>
          <w:ilvl w:val="0"/>
          <w:numId w:val="35"/>
        </w:numPr>
      </w:pPr>
      <w:r>
        <w:lastRenderedPageBreak/>
        <w:t xml:space="preserve">má potenciál na určitú </w:t>
      </w:r>
      <w:r w:rsidR="001373EA">
        <w:t xml:space="preserve">úsporu nákladov </w:t>
      </w:r>
      <w:r w:rsidR="00B324B6">
        <w:t>Správc</w:t>
      </w:r>
      <w:r w:rsidR="00C76DEE">
        <w:t>u</w:t>
      </w:r>
      <w:r w:rsidR="001373EA">
        <w:t xml:space="preserve"> výberu mýta v porovnaní s</w:t>
      </w:r>
      <w:r w:rsidR="009200D0">
        <w:t> </w:t>
      </w:r>
      <w:r w:rsidR="001373EA">
        <w:t>variantom</w:t>
      </w:r>
      <w:r w:rsidR="009200D0">
        <w:t xml:space="preserve"> 1</w:t>
      </w:r>
      <w:r>
        <w:t xml:space="preserve"> nastavením percentuálnej sadzby odmeny pre poskytovateľov</w:t>
      </w:r>
      <w:r w:rsidR="001373EA">
        <w:t>,</w:t>
      </w:r>
    </w:p>
    <w:p w14:paraId="06763260" w14:textId="77777777" w:rsidR="00FD60B7" w:rsidRDefault="001373EA" w:rsidP="00480B97">
      <w:pPr>
        <w:pStyle w:val="ListParagraph"/>
        <w:numPr>
          <w:ilvl w:val="0"/>
          <w:numId w:val="35"/>
        </w:numPr>
      </w:pPr>
      <w:r>
        <w:t>nevyžaduje zvýšenie sadzieb mýta na pokrytie nákladov EETS</w:t>
      </w:r>
      <w:r w:rsidR="00FD60B7">
        <w:t>,</w:t>
      </w:r>
    </w:p>
    <w:p w14:paraId="1DFA90CA" w14:textId="02C6F338" w:rsidR="00613C8F" w:rsidRDefault="00FD60B7" w:rsidP="00480B97">
      <w:pPr>
        <w:pStyle w:val="ListParagraph"/>
        <w:numPr>
          <w:ilvl w:val="0"/>
          <w:numId w:val="35"/>
        </w:numPr>
      </w:pPr>
      <w:r>
        <w:t>je nákladovo efektívnejší ako Variant 1 a dokonca úspornejší ako nulový variant bez projektu</w:t>
      </w:r>
      <w:r w:rsidR="001373EA">
        <w:t>.</w:t>
      </w:r>
    </w:p>
    <w:p w14:paraId="43BAA856" w14:textId="5759DCA6" w:rsidR="001373EA" w:rsidRDefault="001373EA" w:rsidP="00613C8F">
      <w:r>
        <w:t xml:space="preserve">Sadzba odmeny poskytovateľov EETS </w:t>
      </w:r>
      <w:r w:rsidR="00BB6B3F">
        <w:t xml:space="preserve">vo variante 2 </w:t>
      </w:r>
      <w:r>
        <w:t xml:space="preserve">bola stanovená </w:t>
      </w:r>
      <w:r w:rsidR="007D49F1">
        <w:t>odvodením z</w:t>
      </w:r>
      <w:r w:rsidR="00A275EA">
        <w:t>o</w:t>
      </w:r>
      <w:r w:rsidR="007D49F1">
        <w:t> zmluvnej ceny Komplexnej služby elektronického výberu mýta tak, aby boli v maximálne</w:t>
      </w:r>
      <w:r w:rsidR="00A275EA">
        <w:t>j</w:t>
      </w:r>
      <w:r w:rsidR="007D49F1">
        <w:t xml:space="preserve"> možnej miere nastavené rovn</w:t>
      </w:r>
      <w:r w:rsidR="00A275EA">
        <w:t>ak</w:t>
      </w:r>
      <w:r w:rsidR="007D49F1">
        <w:t>é podmienky odmeňovania hlavného poskytovateľa služieb a poskytovateľov EETS. Odmena poskytovateľov EETS podľa tohto návrhu variantu 2</w:t>
      </w:r>
      <w:r w:rsidR="004E7653">
        <w:t>,</w:t>
      </w:r>
      <w:r w:rsidR="007D49F1">
        <w:t xml:space="preserve"> </w:t>
      </w:r>
      <w:r w:rsidR="00132E0C">
        <w:t>použitá na účely tejto analýzy</w:t>
      </w:r>
      <w:r w:rsidR="004E7653">
        <w:t>,</w:t>
      </w:r>
      <w:r w:rsidR="00132E0C">
        <w:t xml:space="preserve"> bola nastavená s použitím percentuálnej sadzby</w:t>
      </w:r>
      <w:r>
        <w:t xml:space="preserve"> </w:t>
      </w:r>
      <w:r w:rsidR="00FD60B7">
        <w:rPr>
          <w:b/>
        </w:rPr>
        <w:t>6,0</w:t>
      </w:r>
      <w:r w:rsidR="00806FA5" w:rsidRPr="008B2914">
        <w:rPr>
          <w:b/>
        </w:rPr>
        <w:t xml:space="preserve"> </w:t>
      </w:r>
      <w:r w:rsidRPr="008B2914">
        <w:rPr>
          <w:b/>
        </w:rPr>
        <w:t>%</w:t>
      </w:r>
      <w:r>
        <w:t xml:space="preserve"> z</w:t>
      </w:r>
      <w:r w:rsidR="008D4CC1">
        <w:t>o</w:t>
      </w:r>
      <w:r>
        <w:t xml:space="preserve"> sumy vybraného mýta (netto, po odrátaní príspevku na </w:t>
      </w:r>
      <w:r w:rsidR="009200D0">
        <w:t xml:space="preserve">pokrytie nákladov </w:t>
      </w:r>
      <w:r>
        <w:t>EETS). </w:t>
      </w:r>
      <w:r w:rsidR="00613C8F">
        <w:t xml:space="preserve"> </w:t>
      </w:r>
    </w:p>
    <w:p w14:paraId="07E4DA41" w14:textId="2A504068" w:rsidR="001373EA" w:rsidRDefault="001373EA" w:rsidP="00613C8F">
      <w:r>
        <w:t xml:space="preserve">Porovnanie </w:t>
      </w:r>
      <w:r w:rsidR="004F00B4">
        <w:t xml:space="preserve">ukazovateľov </w:t>
      </w:r>
      <w:r>
        <w:t xml:space="preserve">celkových nákladov životného cyklu projektu </w:t>
      </w:r>
      <w:r w:rsidR="004F00B4">
        <w:t>a čistej súčasnej hodn</w:t>
      </w:r>
      <w:r w:rsidR="00E214C8">
        <w:t>ot</w:t>
      </w:r>
      <w:r w:rsidR="004F00B4">
        <w:t xml:space="preserve">y </w:t>
      </w:r>
      <w:r w:rsidR="008B2914">
        <w:t xml:space="preserve">pri </w:t>
      </w:r>
      <w:r w:rsidR="008D4CC1">
        <w:t>rozhodujúcom období</w:t>
      </w:r>
      <w:r w:rsidR="008B2914">
        <w:t xml:space="preserve"> 5 rokov prevádzky </w:t>
      </w:r>
      <w:r>
        <w:t xml:space="preserve">je </w:t>
      </w:r>
      <w:r w:rsidR="00E214C8">
        <w:t xml:space="preserve">zobrazené </w:t>
      </w:r>
      <w:r>
        <w:t>na obr. nižšie.</w:t>
      </w:r>
      <w:r w:rsidR="00613C8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99"/>
      </w:tblGrid>
      <w:tr w:rsidR="004F00B4" w14:paraId="181CBB92" w14:textId="77777777" w:rsidTr="00A40297">
        <w:tc>
          <w:tcPr>
            <w:tcW w:w="4532" w:type="dxa"/>
            <w:vAlign w:val="bottom"/>
          </w:tcPr>
          <w:p w14:paraId="10F80C69" w14:textId="2D72B834" w:rsidR="004F00B4" w:rsidRDefault="00FD60B7" w:rsidP="00A40297">
            <w:pPr>
              <w:jc w:val="left"/>
            </w:pPr>
            <w:r>
              <w:rPr>
                <w:noProof/>
                <w:lang w:val="cs-CZ"/>
              </w:rPr>
              <w:drawing>
                <wp:inline distT="0" distB="0" distL="0" distR="0" wp14:anchorId="17AD1E67" wp14:editId="67741268">
                  <wp:extent cx="2850175" cy="166038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172" cy="1679603"/>
                          </a:xfrm>
                          <a:prstGeom prst="rect">
                            <a:avLst/>
                          </a:prstGeom>
                          <a:noFill/>
                        </pic:spPr>
                      </pic:pic>
                    </a:graphicData>
                  </a:graphic>
                </wp:inline>
              </w:drawing>
            </w:r>
          </w:p>
        </w:tc>
        <w:tc>
          <w:tcPr>
            <w:tcW w:w="4642" w:type="dxa"/>
            <w:vAlign w:val="bottom"/>
          </w:tcPr>
          <w:p w14:paraId="1700E34D" w14:textId="25116BF3" w:rsidR="004F00B4" w:rsidRDefault="00FD60B7" w:rsidP="00A40297">
            <w:pPr>
              <w:jc w:val="left"/>
            </w:pPr>
            <w:r>
              <w:rPr>
                <w:noProof/>
                <w:lang w:val="cs-CZ"/>
              </w:rPr>
              <w:drawing>
                <wp:inline distT="0" distB="0" distL="0" distR="0" wp14:anchorId="13343324" wp14:editId="549AA134">
                  <wp:extent cx="2866523" cy="166783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6644" cy="1685363"/>
                          </a:xfrm>
                          <a:prstGeom prst="rect">
                            <a:avLst/>
                          </a:prstGeom>
                          <a:noFill/>
                        </pic:spPr>
                      </pic:pic>
                    </a:graphicData>
                  </a:graphic>
                </wp:inline>
              </w:drawing>
            </w:r>
          </w:p>
        </w:tc>
      </w:tr>
      <w:tr w:rsidR="004F00B4" w14:paraId="7E3FB7D3" w14:textId="77777777" w:rsidTr="00A40297">
        <w:tc>
          <w:tcPr>
            <w:tcW w:w="9174" w:type="dxa"/>
            <w:gridSpan w:val="2"/>
            <w:vAlign w:val="bottom"/>
          </w:tcPr>
          <w:p w14:paraId="10ED64C6" w14:textId="135605BE" w:rsidR="004F00B4" w:rsidRDefault="004F00B4" w:rsidP="00A40297">
            <w:pPr>
              <w:pStyle w:val="Caption"/>
              <w:rPr>
                <w:noProof/>
                <w:lang w:val="cs-CZ"/>
              </w:rPr>
            </w:pPr>
            <w:r>
              <w:t xml:space="preserve">Obr. </w:t>
            </w:r>
            <w:r>
              <w:fldChar w:fldCharType="begin"/>
            </w:r>
            <w:r>
              <w:instrText xml:space="preserve"> SEQ Obr. \* ARABIC </w:instrText>
            </w:r>
            <w:r>
              <w:fldChar w:fldCharType="separate"/>
            </w:r>
            <w:r w:rsidR="00A86720">
              <w:rPr>
                <w:noProof/>
              </w:rPr>
              <w:t>1</w:t>
            </w:r>
            <w:r>
              <w:fldChar w:fldCharType="end"/>
            </w:r>
            <w:r>
              <w:t xml:space="preserve"> – Porovnanie finančných a ekonomických ukazovateľov pre varianty projektu</w:t>
            </w:r>
          </w:p>
        </w:tc>
      </w:tr>
    </w:tbl>
    <w:p w14:paraId="7CB41D54" w14:textId="1D759FE1" w:rsidR="004F00B4" w:rsidRDefault="004F00B4" w:rsidP="00613C8F"/>
    <w:p w14:paraId="5171695C" w14:textId="45ADDA99" w:rsidR="008B2914" w:rsidRDefault="008B2914" w:rsidP="00613C8F">
      <w:r>
        <w:t>Výsledkom CBA analýzy je stanovenie finančných a ekonomických ukazovateľov projektu</w:t>
      </w:r>
      <w:r w:rsidR="00C433B9">
        <w:t>, na základe ktorých je možn</w:t>
      </w:r>
      <w:r w:rsidR="009530DD">
        <w:t>é</w:t>
      </w:r>
      <w:r w:rsidR="00C433B9">
        <w:t xml:space="preserve"> konštatovať, že projekt v preferovanom variant</w:t>
      </w:r>
      <w:r w:rsidR="00626DE0">
        <w:t>e</w:t>
      </w:r>
      <w:r w:rsidR="00C433B9">
        <w:t xml:space="preserve"> 2 je:</w:t>
      </w:r>
    </w:p>
    <w:p w14:paraId="3FC52C06" w14:textId="425CAD57" w:rsidR="00C433B9" w:rsidRDefault="00C433B9" w:rsidP="00480B97">
      <w:pPr>
        <w:pStyle w:val="ListParagraph"/>
        <w:numPr>
          <w:ilvl w:val="0"/>
          <w:numId w:val="36"/>
        </w:numPr>
      </w:pPr>
      <w:r>
        <w:t xml:space="preserve">finančne udržateľný, </w:t>
      </w:r>
    </w:p>
    <w:p w14:paraId="39A7C9A8" w14:textId="28670094" w:rsidR="00A82A90" w:rsidRDefault="00C433B9" w:rsidP="00480B97">
      <w:pPr>
        <w:pStyle w:val="ListParagraph"/>
        <w:numPr>
          <w:ilvl w:val="0"/>
          <w:numId w:val="36"/>
        </w:numPr>
      </w:pPr>
      <w:r>
        <w:t xml:space="preserve">prináša zvýšenie </w:t>
      </w:r>
      <w:r w:rsidR="00A82A90">
        <w:t xml:space="preserve">ekonomickej </w:t>
      </w:r>
      <w:r>
        <w:t>nákladovej efektívnosti</w:t>
      </w:r>
      <w:r w:rsidR="00A82A90">
        <w:t xml:space="preserve"> z priemerných súčasných 2,75 na 3,</w:t>
      </w:r>
      <w:r w:rsidR="00FD60B7">
        <w:t>96</w:t>
      </w:r>
      <w:r w:rsidR="00A82A90">
        <w:t>,</w:t>
      </w:r>
    </w:p>
    <w:p w14:paraId="48F4806C" w14:textId="128DE331" w:rsidR="00C433B9" w:rsidRDefault="00A82A90" w:rsidP="00480B97">
      <w:pPr>
        <w:pStyle w:val="ListParagraph"/>
        <w:numPr>
          <w:ilvl w:val="0"/>
          <w:numId w:val="36"/>
        </w:numPr>
      </w:pPr>
      <w:r>
        <w:t xml:space="preserve">ekonomická čistá súčasná hodnota je </w:t>
      </w:r>
      <w:r w:rsidR="00FD60B7">
        <w:t>796</w:t>
      </w:r>
      <w:r>
        <w:t>,</w:t>
      </w:r>
      <w:r w:rsidR="00132E0C">
        <w:t xml:space="preserve">6 </w:t>
      </w:r>
      <w:r>
        <w:t xml:space="preserve">mil. Eur, </w:t>
      </w:r>
      <w:r w:rsidR="00C433B9">
        <w:t xml:space="preserve"> </w:t>
      </w:r>
    </w:p>
    <w:p w14:paraId="43435D53" w14:textId="685195D5" w:rsidR="00B2168D" w:rsidRDefault="00B2168D" w:rsidP="00480B97">
      <w:pPr>
        <w:pStyle w:val="ListParagraph"/>
        <w:numPr>
          <w:ilvl w:val="0"/>
          <w:numId w:val="36"/>
        </w:numPr>
      </w:pPr>
      <w:r>
        <w:t xml:space="preserve">ekonomická vnútorná miera návratnosti je </w:t>
      </w:r>
      <w:r w:rsidR="00BB6B3F">
        <w:t xml:space="preserve">5 </w:t>
      </w:r>
      <w:r w:rsidR="00FD60B7">
        <w:t xml:space="preserve">433 </w:t>
      </w:r>
      <w:r>
        <w:t>%,</w:t>
      </w:r>
    </w:p>
    <w:p w14:paraId="5145F4A5" w14:textId="68956EAF" w:rsidR="00B2168D" w:rsidRDefault="00B2168D" w:rsidP="00480B97">
      <w:pPr>
        <w:pStyle w:val="ListParagraph"/>
        <w:numPr>
          <w:ilvl w:val="0"/>
          <w:numId w:val="36"/>
        </w:numPr>
      </w:pPr>
      <w:r>
        <w:t xml:space="preserve">pri celkových nákladoch na </w:t>
      </w:r>
      <w:r w:rsidR="007D49F1">
        <w:t>zhotovenie</w:t>
      </w:r>
      <w:r w:rsidR="00847C3A">
        <w:t>,</w:t>
      </w:r>
      <w:r w:rsidR="007D49F1">
        <w:t xml:space="preserve"> </w:t>
      </w:r>
      <w:r w:rsidR="00847C3A">
        <w:t xml:space="preserve">integráciu </w:t>
      </w:r>
      <w:r w:rsidR="007D49F1">
        <w:t xml:space="preserve">a dodávku rozhrania EETS, </w:t>
      </w:r>
      <w:r>
        <w:t xml:space="preserve">zavedenie a prevádzku </w:t>
      </w:r>
      <w:r w:rsidR="00847C3A">
        <w:t xml:space="preserve">čiastkových služieb </w:t>
      </w:r>
      <w:r>
        <w:t xml:space="preserve">EETS v sume </w:t>
      </w:r>
      <w:r w:rsidR="002A030F" w:rsidRPr="00A40297">
        <w:rPr>
          <w:b/>
        </w:rPr>
        <w:t xml:space="preserve">10 </w:t>
      </w:r>
      <w:r w:rsidR="00BB6B3F">
        <w:rPr>
          <w:b/>
        </w:rPr>
        <w:t>460</w:t>
      </w:r>
      <w:r w:rsidR="00BB6B3F" w:rsidRPr="00A40297">
        <w:rPr>
          <w:b/>
        </w:rPr>
        <w:t xml:space="preserve"> </w:t>
      </w:r>
      <w:r w:rsidR="00BB6B3F">
        <w:rPr>
          <w:b/>
        </w:rPr>
        <w:t>922</w:t>
      </w:r>
      <w:r w:rsidRPr="00270548">
        <w:rPr>
          <w:b/>
        </w:rPr>
        <w:t>,- Eur</w:t>
      </w:r>
      <w:r>
        <w:t xml:space="preserve"> bez DPH,</w:t>
      </w:r>
    </w:p>
    <w:p w14:paraId="1CAC354C" w14:textId="4DA8C1E7" w:rsidR="00B2168D" w:rsidRDefault="00B2168D" w:rsidP="00B2168D">
      <w:r>
        <w:t xml:space="preserve">pri </w:t>
      </w:r>
      <w:r w:rsidR="008D4CC1">
        <w:t xml:space="preserve">rozhodujúcom </w:t>
      </w:r>
      <w:r>
        <w:t>období 5 rokov, a pri predpokladanom rast</w:t>
      </w:r>
      <w:r w:rsidR="008D4CC1">
        <w:t>e</w:t>
      </w:r>
      <w:r>
        <w:t xml:space="preserve"> podielu poskytovateľov EETS na výbere mýta dosahujúc</w:t>
      </w:r>
      <w:r w:rsidR="008D4CC1">
        <w:t>o</w:t>
      </w:r>
      <w:r>
        <w:t xml:space="preserve">m 35 % </w:t>
      </w:r>
      <w:r w:rsidR="00607EF3">
        <w:t xml:space="preserve">podiel EETS </w:t>
      </w:r>
      <w:r>
        <w:t>v piatom roku prevádzky</w:t>
      </w:r>
      <w:r w:rsidR="00607EF3">
        <w:t>.</w:t>
      </w:r>
      <w:r>
        <w:t xml:space="preserve">   </w:t>
      </w:r>
    </w:p>
    <w:p w14:paraId="1A4744B4" w14:textId="5A9FCD3A" w:rsidR="00071A40" w:rsidRDefault="00071A40" w:rsidP="00613C8F">
      <w:r>
        <w:t xml:space="preserve">Analýza citlivosti </w:t>
      </w:r>
      <w:r w:rsidR="00847C3A">
        <w:t xml:space="preserve">CBA projektu </w:t>
      </w:r>
      <w:r>
        <w:t xml:space="preserve">ukazuje </w:t>
      </w:r>
      <w:r w:rsidR="002A030F">
        <w:t xml:space="preserve">vo variante 2 </w:t>
      </w:r>
      <w:r>
        <w:t>slabú závislosť ekonomických ukazovateľov na vstupných parametroch ekonomického modelu a nastaveného odmeňovania poskytovateľov EETS</w:t>
      </w:r>
      <w:r w:rsidR="009530DD">
        <w:t>:</w:t>
      </w:r>
      <w:r>
        <w:t xml:space="preserve"> </w:t>
      </w:r>
      <w:r w:rsidR="00847C3A">
        <w:t>zmena vstupných parametrov</w:t>
      </w:r>
      <w:r>
        <w:t xml:space="preserve"> o 1 % </w:t>
      </w:r>
      <w:r w:rsidR="00626DE0">
        <w:t>vyvolá zmenu</w:t>
      </w:r>
      <w:r>
        <w:t xml:space="preserve"> </w:t>
      </w:r>
      <w:r w:rsidR="00847C3A">
        <w:t>ekonomických parametrov spravidla o menej ako 0,</w:t>
      </w:r>
      <w:r w:rsidR="002A030F">
        <w:t>25 </w:t>
      </w:r>
      <w:r w:rsidR="00847C3A">
        <w:t>%</w:t>
      </w:r>
      <w:r w:rsidR="009530DD">
        <w:t>.</w:t>
      </w:r>
      <w:r w:rsidR="00847C3A">
        <w:t xml:space="preserve"> </w:t>
      </w:r>
      <w:r w:rsidR="009530DD">
        <w:t>P</w:t>
      </w:r>
      <w:r w:rsidR="00847C3A">
        <w:t>rojekt je najcitlivejší na zmeny ročných dopravných výkonov spoplatnených vozidiel na vymedzených úsekoch ciest: zmena dopravných výkonov o </w:t>
      </w:r>
      <w:r w:rsidR="001678E5">
        <w:t>+/-</w:t>
      </w:r>
      <w:r w:rsidR="00847C3A">
        <w:t>1 % vyvolá zmenu ukazovateľa ekonomickej čistej súčasnej hodnoty o </w:t>
      </w:r>
      <w:r w:rsidR="001678E5">
        <w:t>+/-</w:t>
      </w:r>
      <w:r w:rsidR="00847C3A">
        <w:t>0,09 % a</w:t>
      </w:r>
      <w:r w:rsidR="002A030F">
        <w:t xml:space="preserve"> zmenu </w:t>
      </w:r>
      <w:r w:rsidR="002A030F" w:rsidRPr="002A030F">
        <w:t>celkových päťročných nákladov projektu o</w:t>
      </w:r>
      <w:r w:rsidR="001678E5">
        <w:t> </w:t>
      </w:r>
      <w:r w:rsidR="002A030F" w:rsidRPr="002A030F">
        <w:t>+/-</w:t>
      </w:r>
      <w:r w:rsidR="001678E5">
        <w:t> </w:t>
      </w:r>
      <w:r w:rsidR="002A030F" w:rsidRPr="002A030F">
        <w:t>0,24 %</w:t>
      </w:r>
      <w:r w:rsidR="00847C3A">
        <w:t>.</w:t>
      </w:r>
      <w:r>
        <w:t xml:space="preserve"> </w:t>
      </w:r>
    </w:p>
    <w:p w14:paraId="4E0EB950" w14:textId="06F96691" w:rsidR="00071A40" w:rsidRDefault="00071A40" w:rsidP="00613C8F">
      <w:r>
        <w:t>Najvýznamnejším rizikom projektu je nenaplnenie predpokladaného rastu podielu poskytovateľov EETS na výbere mýta, ktoré znamená zníženie celkových prínosov a pred</w:t>
      </w:r>
      <w:r w:rsidR="009530DD">
        <w:t>ĺ</w:t>
      </w:r>
      <w:r>
        <w:t xml:space="preserve">ženie návratnosti projektu. </w:t>
      </w:r>
      <w:r w:rsidR="00847C3A">
        <w:t xml:space="preserve">Medzi hlavné riziká plynúce z neuskutočnenia projektu patrí potenciálne </w:t>
      </w:r>
      <w:r w:rsidR="00847C3A" w:rsidRPr="00847C3A">
        <w:t>formálne konani</w:t>
      </w:r>
      <w:r w:rsidR="00847C3A">
        <w:t>e</w:t>
      </w:r>
      <w:r w:rsidR="00847C3A" w:rsidRPr="00847C3A">
        <w:t xml:space="preserve"> voči Slovenskej republike o porušení povinnosti vyplývajúcej z práva EÚ (tzv. </w:t>
      </w:r>
      <w:r w:rsidR="00847C3A" w:rsidRPr="005A7D49">
        <w:rPr>
          <w:i/>
        </w:rPr>
        <w:t>infringement</w:t>
      </w:r>
      <w:r w:rsidR="00847C3A" w:rsidRPr="00847C3A">
        <w:t>)</w:t>
      </w:r>
      <w:r w:rsidR="00737144">
        <w:t xml:space="preserve"> a vymáhanie odškodnenia záujemcov o poskytovanie EETS právnou cestou</w:t>
      </w:r>
      <w:r w:rsidR="00847C3A" w:rsidRPr="00847C3A">
        <w:t>.</w:t>
      </w:r>
    </w:p>
    <w:p w14:paraId="727B22C3" w14:textId="77777777" w:rsidR="00F47DD3" w:rsidRDefault="00071A40" w:rsidP="00613C8F">
      <w:pPr>
        <w:rPr>
          <w:b/>
        </w:rPr>
      </w:pPr>
      <w:r w:rsidRPr="00071A40">
        <w:rPr>
          <w:b/>
        </w:rPr>
        <w:lastRenderedPageBreak/>
        <w:t>Projekt implementácie a prevádzky EETS v rámci Komplexnej služby elektronického výberu mýta je za daných predpokladov uskutočniteľný.</w:t>
      </w:r>
      <w:r w:rsidR="00737144">
        <w:rPr>
          <w:b/>
        </w:rPr>
        <w:t xml:space="preserve"> Realizáciou projektu sa vytvor</w:t>
      </w:r>
      <w:r w:rsidR="009530DD">
        <w:rPr>
          <w:b/>
        </w:rPr>
        <w:t>ia</w:t>
      </w:r>
      <w:r w:rsidR="00737144">
        <w:rPr>
          <w:b/>
        </w:rPr>
        <w:t xml:space="preserve"> technické a organizačné podmienky na strane </w:t>
      </w:r>
      <w:r w:rsidR="00B324B6">
        <w:rPr>
          <w:b/>
        </w:rPr>
        <w:t>Správc</w:t>
      </w:r>
      <w:r w:rsidR="00737144">
        <w:rPr>
          <w:b/>
        </w:rPr>
        <w:t xml:space="preserve">u výberu mýta na plnenie požiadaviek zákona o elektronickom výbere mýta, týkajúcich sa EETS a súvisiacich európskych predpisov.   </w:t>
      </w:r>
    </w:p>
    <w:p w14:paraId="0359CD2F" w14:textId="77777777" w:rsidR="00FD60B7" w:rsidRDefault="00F47DD3" w:rsidP="00613C8F">
      <w:pPr>
        <w:rPr>
          <w:b/>
        </w:rPr>
      </w:pPr>
      <w:r>
        <w:rPr>
          <w:b/>
        </w:rPr>
        <w:t>Analýza TCO podľa metodiky UCWA preukázala primeranosť ceny za dodanie IKT infraštruktúry Rozhrania EETS podľa cenového návrhu uskutočnenia zmeny CR-00190 spoločnosti SkyToll.</w:t>
      </w:r>
    </w:p>
    <w:p w14:paraId="79D5862E" w14:textId="2E16F58B" w:rsidR="00592616" w:rsidRPr="00071A40" w:rsidRDefault="00FD60B7" w:rsidP="00613C8F">
      <w:pPr>
        <w:rPr>
          <w:b/>
        </w:rPr>
      </w:pPr>
      <w:r>
        <w:t>Z pohľadu Správcu výberu mýta</w:t>
      </w:r>
      <w:r w:rsidR="008B5202">
        <w:t xml:space="preserve"> má projekt</w:t>
      </w:r>
      <w:r>
        <w:t xml:space="preserve"> významnú úlohu ako stabilizačn</w:t>
      </w:r>
      <w:r w:rsidR="008B5202">
        <w:t>ý</w:t>
      </w:r>
      <w:r>
        <w:t xml:space="preserve"> prv</w:t>
      </w:r>
      <w:r w:rsidR="008B5202">
        <w:t>o</w:t>
      </w:r>
      <w:r>
        <w:t>k so zreteľom na potenciálny nedostatok palubných jednotiek a elektronických komponentov potrebných na vybudovanie nového mýtneho systému EMS a zabezpečenie hlavného poskytovateľa mýtnych služieb.</w:t>
      </w:r>
      <w:r w:rsidR="008B5202">
        <w:t xml:space="preserve"> </w:t>
      </w:r>
      <w:r w:rsidR="008B5202" w:rsidRPr="008B5202">
        <w:t xml:space="preserve">Zámerom správcu výberu mýta je urýchlene posilniť úlohu poskytovateľov EETS tak, aby v súvislosti so zabezpečením kontinuity výberu mýta po r. 2022 na seba prebrali významnú časť služieb a </w:t>
      </w:r>
      <w:r w:rsidR="008B5202">
        <w:t>poskytli</w:t>
      </w:r>
      <w:r w:rsidR="008B5202" w:rsidRPr="008B5202">
        <w:t xml:space="preserve"> </w:t>
      </w:r>
      <w:r w:rsidR="008B5202">
        <w:t xml:space="preserve">zo svojho portfólia </w:t>
      </w:r>
      <w:r w:rsidR="008B5202" w:rsidRPr="008B5202">
        <w:t xml:space="preserve">podstatné množstvo </w:t>
      </w:r>
      <w:r w:rsidR="008B5202">
        <w:t xml:space="preserve">interoperabilných </w:t>
      </w:r>
      <w:r w:rsidR="008B5202" w:rsidRPr="008B5202">
        <w:t xml:space="preserve">palubných jednotiek pre potreby výberu mýta na Slovensku. </w:t>
      </w:r>
      <w:r>
        <w:t xml:space="preserve"> </w:t>
      </w:r>
      <w:r w:rsidR="00592616" w:rsidRPr="00071A40">
        <w:rPr>
          <w:b/>
        </w:rPr>
        <w:br w:type="page"/>
      </w:r>
    </w:p>
    <w:p w14:paraId="4BDE0D8A" w14:textId="473C2592" w:rsidR="00E3086F" w:rsidRDefault="00AC6308" w:rsidP="00A07F2D">
      <w:pPr>
        <w:pStyle w:val="Heading1"/>
      </w:pPr>
      <w:bookmarkStart w:id="4" w:name="_Toc87348685"/>
      <w:r>
        <w:lastRenderedPageBreak/>
        <w:t>Základné informácie</w:t>
      </w:r>
      <w:bookmarkEnd w:id="4"/>
    </w:p>
    <w:p w14:paraId="37DAFFB7" w14:textId="773725FD" w:rsidR="00CD5F2F" w:rsidRDefault="00CD5F2F" w:rsidP="00CD5F2F">
      <w:pPr>
        <w:pStyle w:val="Heading2"/>
      </w:pPr>
      <w:bookmarkStart w:id="5" w:name="_Toc87348686"/>
      <w:r>
        <w:t>Prehľad</w:t>
      </w:r>
      <w:bookmarkEnd w:id="5"/>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46"/>
      </w:tblGrid>
      <w:tr w:rsidR="00CD5F2F" w14:paraId="5748B4E8" w14:textId="77777777" w:rsidTr="00CD5F2F">
        <w:tc>
          <w:tcPr>
            <w:tcW w:w="2268" w:type="dxa"/>
          </w:tcPr>
          <w:p w14:paraId="47C7B960" w14:textId="130B0BF1" w:rsidR="00CD5F2F" w:rsidRPr="00CD5F2F" w:rsidRDefault="00CD5F2F" w:rsidP="00CD5F2F">
            <w:pPr>
              <w:rPr>
                <w:i/>
              </w:rPr>
            </w:pPr>
            <w:r w:rsidRPr="00CD5F2F">
              <w:rPr>
                <w:i/>
              </w:rPr>
              <w:t>Predkladateľ štúdie:</w:t>
            </w:r>
          </w:p>
        </w:tc>
        <w:tc>
          <w:tcPr>
            <w:tcW w:w="6946" w:type="dxa"/>
          </w:tcPr>
          <w:p w14:paraId="541F7E9A" w14:textId="057D3137" w:rsidR="00CD5F2F" w:rsidRDefault="00CD5F2F" w:rsidP="00CD5F2F">
            <w:r>
              <w:t>Národná diaľničná spoločnosť a. s., Dúbravská cesta 14, 841 04 Bratislava</w:t>
            </w:r>
          </w:p>
        </w:tc>
      </w:tr>
      <w:tr w:rsidR="00CD5F2F" w14:paraId="23317992" w14:textId="77777777" w:rsidTr="00CD5F2F">
        <w:tc>
          <w:tcPr>
            <w:tcW w:w="2268" w:type="dxa"/>
          </w:tcPr>
          <w:p w14:paraId="1B5115C1" w14:textId="55C153F5" w:rsidR="00CD5F2F" w:rsidRPr="00CD5F2F" w:rsidRDefault="00912EE4" w:rsidP="00912EE4">
            <w:pPr>
              <w:rPr>
                <w:i/>
              </w:rPr>
            </w:pPr>
            <w:r>
              <w:rPr>
                <w:i/>
              </w:rPr>
              <w:t>Názov p</w:t>
            </w:r>
            <w:r w:rsidR="00CD5F2F">
              <w:rPr>
                <w:i/>
              </w:rPr>
              <w:t>rojekt</w:t>
            </w:r>
            <w:r>
              <w:rPr>
                <w:i/>
              </w:rPr>
              <w:t>u</w:t>
            </w:r>
            <w:r w:rsidR="00CD5F2F">
              <w:rPr>
                <w:i/>
              </w:rPr>
              <w:t>:</w:t>
            </w:r>
          </w:p>
        </w:tc>
        <w:tc>
          <w:tcPr>
            <w:tcW w:w="6946" w:type="dxa"/>
          </w:tcPr>
          <w:p w14:paraId="10BC4F0E" w14:textId="76E03A74" w:rsidR="00CD5F2F" w:rsidRPr="00270548" w:rsidRDefault="00CD5F2F" w:rsidP="00912EE4">
            <w:pPr>
              <w:rPr>
                <w:b/>
              </w:rPr>
            </w:pPr>
            <w:r w:rsidRPr="00270548">
              <w:rPr>
                <w:b/>
              </w:rPr>
              <w:t xml:space="preserve">Implementácia Európskej služby elektronického výberu mýta </w:t>
            </w:r>
            <w:r w:rsidR="00912EE4" w:rsidRPr="00270548">
              <w:rPr>
                <w:b/>
              </w:rPr>
              <w:t xml:space="preserve">(EETS) </w:t>
            </w:r>
            <w:r w:rsidR="00912EE4" w:rsidRPr="00270548">
              <w:rPr>
                <w:b/>
              </w:rPr>
              <w:br/>
              <w:t>CR-00190</w:t>
            </w:r>
          </w:p>
        </w:tc>
      </w:tr>
      <w:tr w:rsidR="00CD5F2F" w14:paraId="75BFD355" w14:textId="77777777" w:rsidTr="00CD5F2F">
        <w:tc>
          <w:tcPr>
            <w:tcW w:w="2268" w:type="dxa"/>
          </w:tcPr>
          <w:p w14:paraId="284EFE8D" w14:textId="693EF9AE" w:rsidR="00CD5F2F" w:rsidRDefault="00912EE4" w:rsidP="00CD5F2F">
            <w:pPr>
              <w:rPr>
                <w:i/>
              </w:rPr>
            </w:pPr>
            <w:r>
              <w:rPr>
                <w:i/>
              </w:rPr>
              <w:t>Predmet</w:t>
            </w:r>
            <w:r w:rsidR="00CD5F2F">
              <w:rPr>
                <w:i/>
              </w:rPr>
              <w:t xml:space="preserve"> projektu</w:t>
            </w:r>
            <w:r>
              <w:rPr>
                <w:i/>
              </w:rPr>
              <w:t>:</w:t>
            </w:r>
          </w:p>
        </w:tc>
        <w:tc>
          <w:tcPr>
            <w:tcW w:w="6946" w:type="dxa"/>
          </w:tcPr>
          <w:p w14:paraId="2A7D6C87" w14:textId="0E163D31" w:rsidR="0043729E" w:rsidRDefault="0043729E" w:rsidP="00480B97">
            <w:pPr>
              <w:pStyle w:val="ListParagraph"/>
              <w:numPr>
                <w:ilvl w:val="0"/>
                <w:numId w:val="37"/>
              </w:numPr>
              <w:ind w:left="360"/>
            </w:pPr>
            <w:r>
              <w:t>Zhotovenie a dodávka infraštruktúry rozhrania EETS do vlastníctva Národnej diaľničnej spoločnosti, a. s.</w:t>
            </w:r>
          </w:p>
          <w:p w14:paraId="0D64E507" w14:textId="7DFBBCC4" w:rsidR="00CD5F2F" w:rsidRDefault="00CD5F2F" w:rsidP="00480B97">
            <w:pPr>
              <w:pStyle w:val="ListParagraph"/>
              <w:numPr>
                <w:ilvl w:val="0"/>
                <w:numId w:val="37"/>
              </w:numPr>
              <w:ind w:left="360"/>
            </w:pPr>
            <w:r>
              <w:t xml:space="preserve">Implementácia nových čiastkových služieb ako rozšírenie stávajúcej </w:t>
            </w:r>
            <w:r w:rsidR="00DD1C2F">
              <w:t>K</w:t>
            </w:r>
            <w:r>
              <w:t>omplexnej služby elektronického výberu mýta</w:t>
            </w:r>
            <w:r w:rsidR="00912EE4">
              <w:t xml:space="preserve"> formou zmenového konania podľa Zmluvy o poskytovaní </w:t>
            </w:r>
            <w:r w:rsidR="00DD1C2F">
              <w:t>K</w:t>
            </w:r>
            <w:r w:rsidR="00912EE4">
              <w:t xml:space="preserve">omplexnej služby elektronického výberu mýta uzatvorenej medzi </w:t>
            </w:r>
            <w:r w:rsidR="00B509C5" w:rsidRPr="00B509C5">
              <w:t>Národnou diaľničnou spoločnosťou, a.</w:t>
            </w:r>
            <w:r w:rsidR="00B509C5">
              <w:t xml:space="preserve"> </w:t>
            </w:r>
            <w:r w:rsidR="00B509C5" w:rsidRPr="00B509C5">
              <w:t>s.</w:t>
            </w:r>
            <w:r w:rsidR="00B509C5">
              <w:t xml:space="preserve"> so sídlom</w:t>
            </w:r>
            <w:r w:rsidR="00B509C5" w:rsidRPr="00B509C5">
              <w:t xml:space="preserve"> </w:t>
            </w:r>
            <w:r w:rsidR="00B509C5">
              <w:t>Dúbravská cesta 14, 841 04 Bratislava</w:t>
            </w:r>
            <w:r w:rsidR="00B509C5" w:rsidRPr="00B509C5">
              <w:t xml:space="preserve"> a spoločnosťou SkyToll, a. s., Westend Square, Lamačská cesta 3/B, 841 04 Bratislava dňa 13.01.2009</w:t>
            </w:r>
            <w:r w:rsidR="00B509C5">
              <w:t>.</w:t>
            </w:r>
          </w:p>
          <w:p w14:paraId="13101F0C" w14:textId="6F9B3172" w:rsidR="00B509C5" w:rsidRDefault="00B509C5" w:rsidP="005A7D49">
            <w:pPr>
              <w:ind w:left="360"/>
            </w:pPr>
            <w:r>
              <w:t>Nové rozširujúce čiastkové služby zahŕňajú:</w:t>
            </w:r>
          </w:p>
          <w:p w14:paraId="077CACE5" w14:textId="146129C2" w:rsidR="00B509C5" w:rsidRDefault="00B509C5" w:rsidP="005A7D49">
            <w:pPr>
              <w:pStyle w:val="ListParagraph"/>
              <w:numPr>
                <w:ilvl w:val="0"/>
                <w:numId w:val="19"/>
              </w:numPr>
              <w:ind w:left="1080"/>
            </w:pPr>
            <w:r>
              <w:t xml:space="preserve">manažment zákazníkov </w:t>
            </w:r>
            <w:r w:rsidR="00437B31">
              <w:t>EETS</w:t>
            </w:r>
            <w:r>
              <w:t>,</w:t>
            </w:r>
          </w:p>
          <w:p w14:paraId="403ABF5B" w14:textId="0AF28E16" w:rsidR="00B509C5" w:rsidRDefault="00B509C5" w:rsidP="005A7D49">
            <w:pPr>
              <w:pStyle w:val="ListParagraph"/>
              <w:numPr>
                <w:ilvl w:val="0"/>
                <w:numId w:val="19"/>
              </w:numPr>
              <w:ind w:left="1080"/>
            </w:pPr>
            <w:r>
              <w:t xml:space="preserve">spracovanie mýtnych transakcií </w:t>
            </w:r>
            <w:r w:rsidR="00437B31">
              <w:t>vozidiel</w:t>
            </w:r>
            <w:r w:rsidR="00437B31" w:rsidRPr="00437B31">
              <w:t xml:space="preserve"> E</w:t>
            </w:r>
            <w:r w:rsidR="00437B31">
              <w:t>ETS</w:t>
            </w:r>
            <w:r>
              <w:t>,</w:t>
            </w:r>
          </w:p>
          <w:p w14:paraId="1641A821" w14:textId="73A6F019" w:rsidR="00437B31" w:rsidRDefault="00437B31" w:rsidP="005A7D49">
            <w:pPr>
              <w:pStyle w:val="ListParagraph"/>
              <w:numPr>
                <w:ilvl w:val="0"/>
                <w:numId w:val="19"/>
              </w:numPr>
              <w:ind w:left="1080"/>
            </w:pPr>
            <w:r>
              <w:t>vyúčtovanie súhrnnej úhrady mýta poskytovateľom EETS,</w:t>
            </w:r>
          </w:p>
          <w:p w14:paraId="7F260F87" w14:textId="77777777" w:rsidR="0043729E" w:rsidRDefault="00B509C5" w:rsidP="005A7D49">
            <w:pPr>
              <w:pStyle w:val="ListParagraph"/>
              <w:numPr>
                <w:ilvl w:val="0"/>
                <w:numId w:val="19"/>
              </w:numPr>
              <w:ind w:left="1080"/>
            </w:pPr>
            <w:r>
              <w:t>kontrol</w:t>
            </w:r>
            <w:r w:rsidR="00437B31">
              <w:t>u</w:t>
            </w:r>
            <w:r>
              <w:t xml:space="preserve"> dodržiavania povinností </w:t>
            </w:r>
            <w:r w:rsidR="00437B31">
              <w:t>p</w:t>
            </w:r>
            <w:r w:rsidR="00437B31" w:rsidRPr="00437B31">
              <w:t>revádzkovateľ</w:t>
            </w:r>
            <w:r w:rsidR="00437B31">
              <w:t>ov</w:t>
            </w:r>
            <w:r w:rsidR="00437B31" w:rsidRPr="00437B31">
              <w:t xml:space="preserve"> vozid</w:t>
            </w:r>
            <w:r w:rsidR="00437B31">
              <w:t>ie</w:t>
            </w:r>
            <w:r w:rsidR="00437B31" w:rsidRPr="00437B31">
              <w:t>l, ktor</w:t>
            </w:r>
            <w:r w:rsidR="00437B31">
              <w:t>í</w:t>
            </w:r>
            <w:r w:rsidR="00437B31" w:rsidRPr="00437B31">
              <w:t xml:space="preserve"> m</w:t>
            </w:r>
            <w:r w:rsidR="00437B31">
              <w:t>ajú</w:t>
            </w:r>
            <w:r w:rsidR="00437B31" w:rsidRPr="00437B31">
              <w:t xml:space="preserve"> uzavretú zmluvu s poskytovateľom E</w:t>
            </w:r>
            <w:r w:rsidR="00437B31">
              <w:t>ETS</w:t>
            </w:r>
            <w:r>
              <w:t xml:space="preserve"> podľa zákona č. 474/2013 Z. z. o </w:t>
            </w:r>
            <w:r w:rsidRPr="00B509C5">
              <w:t>výbere mýta za užívanie vymedzených úsekov pozemných komunikácií a o zmene a doplnení niektorých zákonov</w:t>
            </w:r>
            <w:r w:rsidR="0043729E">
              <w:t>,</w:t>
            </w:r>
          </w:p>
          <w:p w14:paraId="79881CA5" w14:textId="3D859959" w:rsidR="0043729E" w:rsidRDefault="0043729E" w:rsidP="005A7D49">
            <w:pPr>
              <w:pStyle w:val="ListParagraph"/>
              <w:numPr>
                <w:ilvl w:val="0"/>
                <w:numId w:val="19"/>
              </w:numPr>
              <w:ind w:left="1080"/>
            </w:pPr>
            <w:r>
              <w:t>prevádzkovanie a údržb</w:t>
            </w:r>
            <w:r w:rsidR="00DD1C2F">
              <w:t>u</w:t>
            </w:r>
            <w:r>
              <w:t xml:space="preserve"> infraštruktúry rozhrania EETS vo vlastníctve </w:t>
            </w:r>
            <w:r w:rsidR="00DE65B6">
              <w:t>NDS</w:t>
            </w:r>
            <w:r w:rsidR="00437B31">
              <w:t>.</w:t>
            </w:r>
          </w:p>
        </w:tc>
      </w:tr>
      <w:tr w:rsidR="004D69A4" w14:paraId="5F28E1CF" w14:textId="77777777" w:rsidTr="00CD5F2F">
        <w:tc>
          <w:tcPr>
            <w:tcW w:w="2268" w:type="dxa"/>
          </w:tcPr>
          <w:p w14:paraId="637B441E" w14:textId="7ACAFC4F" w:rsidR="004D69A4" w:rsidRDefault="004D69A4" w:rsidP="00CD5F2F">
            <w:pPr>
              <w:rPr>
                <w:i/>
              </w:rPr>
            </w:pPr>
            <w:r>
              <w:rPr>
                <w:i/>
              </w:rPr>
              <w:t>Cieľ projektu:</w:t>
            </w:r>
          </w:p>
        </w:tc>
        <w:tc>
          <w:tcPr>
            <w:tcW w:w="6946" w:type="dxa"/>
          </w:tcPr>
          <w:p w14:paraId="0AF11E6D" w14:textId="4958C5C5" w:rsidR="004D69A4" w:rsidRDefault="004D69A4" w:rsidP="00DE65B6">
            <w:pPr>
              <w:jc w:val="left"/>
            </w:pPr>
            <w:r>
              <w:t xml:space="preserve">Sprístupniť Európsku službu elektronického výberu mýta na území </w:t>
            </w:r>
            <w:r w:rsidR="00184A6A" w:rsidRPr="00184A6A">
              <w:t>Slovenskej republiky</w:t>
            </w:r>
            <w:r>
              <w:t xml:space="preserve">. </w:t>
            </w:r>
            <w:r w:rsidR="00DE65B6">
              <w:t xml:space="preserve">Naplniť požiadavky Zákona 474/2014 Z. z. o výbere mýta v znení neskorších predpisov a relevantných predpisov EÚ. </w:t>
            </w:r>
          </w:p>
        </w:tc>
      </w:tr>
      <w:tr w:rsidR="00CD5F2F" w14:paraId="0DA42932" w14:textId="77777777" w:rsidTr="00CD5F2F">
        <w:tc>
          <w:tcPr>
            <w:tcW w:w="2268" w:type="dxa"/>
          </w:tcPr>
          <w:p w14:paraId="3C119355" w14:textId="6B8819DE" w:rsidR="00CD5F2F" w:rsidRPr="00CD5F2F" w:rsidRDefault="00CD5F2F" w:rsidP="00CD5F2F">
            <w:pPr>
              <w:rPr>
                <w:i/>
              </w:rPr>
            </w:pPr>
            <w:r>
              <w:rPr>
                <w:i/>
              </w:rPr>
              <w:t>Prevádzkovateľ</w:t>
            </w:r>
            <w:r w:rsidR="00912EE4">
              <w:rPr>
                <w:i/>
              </w:rPr>
              <w:t xml:space="preserve"> projektu:</w:t>
            </w:r>
          </w:p>
        </w:tc>
        <w:tc>
          <w:tcPr>
            <w:tcW w:w="6946" w:type="dxa"/>
          </w:tcPr>
          <w:p w14:paraId="094DEDB0" w14:textId="4B741F83" w:rsidR="00CD5F2F" w:rsidRDefault="00CD5F2F" w:rsidP="00CD5F2F">
            <w:r>
              <w:t>Národná diaľničná spoločnosť a. s., Dúbravská cesta 14, 841 04 Bratislava</w:t>
            </w:r>
          </w:p>
        </w:tc>
      </w:tr>
      <w:tr w:rsidR="00A07F2D" w14:paraId="7E1FD255" w14:textId="77777777" w:rsidTr="00CD5F2F">
        <w:tc>
          <w:tcPr>
            <w:tcW w:w="2268" w:type="dxa"/>
          </w:tcPr>
          <w:p w14:paraId="716E1549" w14:textId="03462C29" w:rsidR="00A07F2D" w:rsidRDefault="00A07F2D" w:rsidP="00A07F2D">
            <w:pPr>
              <w:rPr>
                <w:i/>
              </w:rPr>
            </w:pPr>
            <w:r>
              <w:rPr>
                <w:i/>
              </w:rPr>
              <w:t>Prepojenie s národnou sektorovou stratégiou:</w:t>
            </w:r>
          </w:p>
        </w:tc>
        <w:tc>
          <w:tcPr>
            <w:tcW w:w="6946" w:type="dxa"/>
          </w:tcPr>
          <w:p w14:paraId="69ADE9D5" w14:textId="6DA7F99F" w:rsidR="00A07F2D" w:rsidRDefault="00A07F2D" w:rsidP="00A07F2D">
            <w:r w:rsidRPr="00A07F2D">
              <w:t>Prioritn</w:t>
            </w:r>
            <w:r>
              <w:t>á</w:t>
            </w:r>
            <w:r w:rsidRPr="00A07F2D">
              <w:t xml:space="preserve"> os PO2 – Cestná infraštruktúra (TEN-T)</w:t>
            </w:r>
            <w:r w:rsidR="00270548">
              <w:t>:</w:t>
            </w:r>
          </w:p>
          <w:p w14:paraId="27338270" w14:textId="2666978A" w:rsidR="00A07F2D" w:rsidRDefault="008971F8" w:rsidP="005A7D49">
            <w:r w:rsidRPr="00A07F2D">
              <w:t xml:space="preserve">Špecifický </w:t>
            </w:r>
            <w:r w:rsidR="00A07F2D" w:rsidRPr="00A07F2D">
              <w:t>cieľ 2.1</w:t>
            </w:r>
            <w:r w:rsidR="0043729E">
              <w:t xml:space="preserve">, </w:t>
            </w:r>
            <w:r w:rsidR="00A07F2D" w:rsidRPr="00A07F2D">
              <w:t>investičn</w:t>
            </w:r>
            <w:r w:rsidR="00270548">
              <w:t>á</w:t>
            </w:r>
            <w:r w:rsidR="00A07F2D" w:rsidRPr="00A07F2D">
              <w:t xml:space="preserve"> priorit</w:t>
            </w:r>
            <w:r w:rsidR="00270548">
              <w:t>a</w:t>
            </w:r>
            <w:r w:rsidR="00A07F2D" w:rsidRPr="00A07F2D">
              <w:t xml:space="preserve"> 7i) </w:t>
            </w:r>
            <w:r w:rsidR="0043729E">
              <w:t>–</w:t>
            </w:r>
            <w:r w:rsidR="00A07F2D" w:rsidRPr="00A07F2D">
              <w:t xml:space="preserve"> Podpora multimodálneho jednotného európskeho dopravného priestoru pomocou investícií do TEN-T,</w:t>
            </w:r>
            <w:r w:rsidR="0043729E">
              <w:t xml:space="preserve"> </w:t>
            </w:r>
            <w:r w:rsidR="00A07F2D" w:rsidRPr="00A07F2D">
              <w:t>aktivit</w:t>
            </w:r>
            <w:r w:rsidR="00270548">
              <w:t>a</w:t>
            </w:r>
            <w:r w:rsidR="00A07F2D" w:rsidRPr="00A07F2D">
              <w:t xml:space="preserve"> B: Budovanie inteligentných dopravných systémov</w:t>
            </w:r>
            <w:r w:rsidR="00270548">
              <w:t>.</w:t>
            </w:r>
          </w:p>
        </w:tc>
      </w:tr>
      <w:tr w:rsidR="00912EE4" w14:paraId="0E6D9F42" w14:textId="77777777" w:rsidTr="00CD5F2F">
        <w:tc>
          <w:tcPr>
            <w:tcW w:w="2268" w:type="dxa"/>
          </w:tcPr>
          <w:p w14:paraId="25A3CC88" w14:textId="3F692C55" w:rsidR="00912EE4" w:rsidRDefault="00912EE4" w:rsidP="00CD5F2F">
            <w:pPr>
              <w:rPr>
                <w:i/>
              </w:rPr>
            </w:pPr>
            <w:r>
              <w:rPr>
                <w:i/>
              </w:rPr>
              <w:t>Financovanie projektu:</w:t>
            </w:r>
          </w:p>
        </w:tc>
        <w:tc>
          <w:tcPr>
            <w:tcW w:w="6946" w:type="dxa"/>
          </w:tcPr>
          <w:p w14:paraId="17EA312F" w14:textId="20B8E0E3" w:rsidR="00912EE4" w:rsidRDefault="00912EE4" w:rsidP="00912EE4">
            <w:r>
              <w:t xml:space="preserve">Financovanie celkových výdavkov projektu bude zabezpečené z výberu mýta  </w:t>
            </w:r>
          </w:p>
        </w:tc>
      </w:tr>
      <w:tr w:rsidR="00437B31" w14:paraId="57B505D3" w14:textId="77777777" w:rsidTr="00CD5F2F">
        <w:tc>
          <w:tcPr>
            <w:tcW w:w="2268" w:type="dxa"/>
          </w:tcPr>
          <w:p w14:paraId="291AEBE0" w14:textId="41B85D64" w:rsidR="00437B31" w:rsidRDefault="00437B31" w:rsidP="00437B31">
            <w:pPr>
              <w:jc w:val="left"/>
              <w:rPr>
                <w:i/>
              </w:rPr>
            </w:pPr>
            <w:r w:rsidRPr="00437B31">
              <w:rPr>
                <w:i/>
              </w:rPr>
              <w:t>Indikatívn</w:t>
            </w:r>
            <w:r>
              <w:rPr>
                <w:i/>
              </w:rPr>
              <w:t>e</w:t>
            </w:r>
            <w:r w:rsidRPr="00437B31">
              <w:rPr>
                <w:i/>
              </w:rPr>
              <w:t xml:space="preserve"> </w:t>
            </w:r>
            <w:r>
              <w:rPr>
                <w:i/>
              </w:rPr>
              <w:t>náklady</w:t>
            </w:r>
            <w:r w:rsidRPr="00437B31">
              <w:rPr>
                <w:i/>
              </w:rPr>
              <w:t xml:space="preserve"> projektu</w:t>
            </w:r>
            <w:r>
              <w:rPr>
                <w:i/>
              </w:rPr>
              <w:t>:</w:t>
            </w:r>
          </w:p>
        </w:tc>
        <w:tc>
          <w:tcPr>
            <w:tcW w:w="6946" w:type="dxa"/>
          </w:tcPr>
          <w:p w14:paraId="08D7BE87" w14:textId="3042E175" w:rsidR="00437B31" w:rsidRDefault="0008520D" w:rsidP="00BB6B3F">
            <w:r w:rsidRPr="0008520D">
              <w:t xml:space="preserve">Náklady </w:t>
            </w:r>
            <w:r w:rsidR="008971F8">
              <w:t>predmetu projektu</w:t>
            </w:r>
            <w:r w:rsidRPr="0008520D">
              <w:t xml:space="preserve"> </w:t>
            </w:r>
            <w:r w:rsidR="00052FCB" w:rsidRPr="00052FCB">
              <w:rPr>
                <w:b/>
              </w:rPr>
              <w:t xml:space="preserve">10 </w:t>
            </w:r>
            <w:r w:rsidR="00BB6B3F">
              <w:rPr>
                <w:b/>
              </w:rPr>
              <w:t>460</w:t>
            </w:r>
            <w:r w:rsidR="00BB6B3F" w:rsidRPr="00052FCB">
              <w:rPr>
                <w:b/>
              </w:rPr>
              <w:t xml:space="preserve"> </w:t>
            </w:r>
            <w:r w:rsidR="00BB6B3F">
              <w:rPr>
                <w:b/>
              </w:rPr>
              <w:t>922</w:t>
            </w:r>
            <w:r w:rsidR="00A07F2D" w:rsidRPr="00270548">
              <w:rPr>
                <w:b/>
              </w:rPr>
              <w:t>,- Eur</w:t>
            </w:r>
            <w:r w:rsidR="00A07F2D">
              <w:t xml:space="preserve"> </w:t>
            </w:r>
            <w:r w:rsidR="00270548">
              <w:t xml:space="preserve">bez DPH </w:t>
            </w:r>
            <w:r w:rsidR="00A07F2D">
              <w:t xml:space="preserve">za implementáciu a poskytovanie služieb </w:t>
            </w:r>
            <w:r w:rsidR="009742CE">
              <w:t>EETS</w:t>
            </w:r>
            <w:r w:rsidR="008971F8">
              <w:t xml:space="preserve">, pri celkových nákladoch na výber mýta </w:t>
            </w:r>
            <w:r w:rsidR="00052FCB" w:rsidRPr="00052FCB">
              <w:t>363</w:t>
            </w:r>
            <w:r w:rsidR="00052FCB">
              <w:t> </w:t>
            </w:r>
            <w:r w:rsidR="00BB6B3F">
              <w:t>866 426</w:t>
            </w:r>
            <w:r w:rsidR="00052FCB">
              <w:t xml:space="preserve">,- </w:t>
            </w:r>
            <w:r w:rsidR="008971F8">
              <w:t>Eur bez DPH za 5 rokov</w:t>
            </w:r>
          </w:p>
        </w:tc>
      </w:tr>
      <w:tr w:rsidR="00A07F2D" w14:paraId="4769811C" w14:textId="77777777" w:rsidTr="00CD5F2F">
        <w:tc>
          <w:tcPr>
            <w:tcW w:w="2268" w:type="dxa"/>
          </w:tcPr>
          <w:p w14:paraId="0BDF5352" w14:textId="6200EFAC" w:rsidR="00A07F2D" w:rsidRPr="00437B31" w:rsidRDefault="00A07F2D" w:rsidP="00437B31">
            <w:pPr>
              <w:jc w:val="left"/>
              <w:rPr>
                <w:i/>
              </w:rPr>
            </w:pPr>
            <w:r>
              <w:rPr>
                <w:i/>
              </w:rPr>
              <w:t>Časový harmonogram:</w:t>
            </w:r>
          </w:p>
        </w:tc>
        <w:tc>
          <w:tcPr>
            <w:tcW w:w="6946" w:type="dxa"/>
          </w:tcPr>
          <w:p w14:paraId="420A8663" w14:textId="1AAB8305" w:rsidR="00A07F2D" w:rsidRDefault="00A07F2D" w:rsidP="00A07F2D">
            <w:r>
              <w:t xml:space="preserve">Začatie implementácie </w:t>
            </w:r>
            <w:r>
              <w:tab/>
            </w:r>
            <w:r w:rsidRPr="00270548">
              <w:rPr>
                <w:b/>
              </w:rPr>
              <w:t>01.</w:t>
            </w:r>
            <w:r w:rsidR="00BB6B3F">
              <w:rPr>
                <w:b/>
              </w:rPr>
              <w:t xml:space="preserve"> 10</w:t>
            </w:r>
            <w:r w:rsidRPr="00270548">
              <w:rPr>
                <w:b/>
              </w:rPr>
              <w:t>.</w:t>
            </w:r>
            <w:r w:rsidR="00BB6B3F">
              <w:rPr>
                <w:b/>
              </w:rPr>
              <w:t xml:space="preserve"> </w:t>
            </w:r>
            <w:r w:rsidRPr="00270548">
              <w:rPr>
                <w:b/>
              </w:rPr>
              <w:t>2021</w:t>
            </w:r>
          </w:p>
          <w:p w14:paraId="118C1E0D" w14:textId="3AB5B932" w:rsidR="00A07F2D" w:rsidRPr="00A07F2D" w:rsidRDefault="00A07F2D" w:rsidP="00BB6B3F">
            <w:r>
              <w:t>Začatie prevádzky</w:t>
            </w:r>
            <w:r>
              <w:tab/>
            </w:r>
            <w:r w:rsidR="0043729E">
              <w:tab/>
            </w:r>
            <w:r w:rsidR="0043729E" w:rsidRPr="00270548">
              <w:rPr>
                <w:b/>
              </w:rPr>
              <w:t>0</w:t>
            </w:r>
            <w:r w:rsidR="0043729E">
              <w:rPr>
                <w:b/>
              </w:rPr>
              <w:t>1</w:t>
            </w:r>
            <w:r w:rsidRPr="00270548">
              <w:rPr>
                <w:b/>
              </w:rPr>
              <w:t>.</w:t>
            </w:r>
            <w:r w:rsidR="00BB6B3F">
              <w:rPr>
                <w:b/>
              </w:rPr>
              <w:t xml:space="preserve"> </w:t>
            </w:r>
            <w:r w:rsidR="00BB6B3F" w:rsidRPr="00270548">
              <w:rPr>
                <w:b/>
              </w:rPr>
              <w:t>0</w:t>
            </w:r>
            <w:r w:rsidR="00BB6B3F">
              <w:rPr>
                <w:b/>
              </w:rPr>
              <w:t>2</w:t>
            </w:r>
            <w:r w:rsidRPr="00270548">
              <w:rPr>
                <w:b/>
              </w:rPr>
              <w:t>.</w:t>
            </w:r>
            <w:r w:rsidR="00BB6B3F">
              <w:rPr>
                <w:b/>
              </w:rPr>
              <w:t xml:space="preserve"> </w:t>
            </w:r>
            <w:r w:rsidRPr="00270548">
              <w:rPr>
                <w:b/>
              </w:rPr>
              <w:t>2022</w:t>
            </w:r>
          </w:p>
        </w:tc>
      </w:tr>
    </w:tbl>
    <w:p w14:paraId="19B95738" w14:textId="427BC2B5" w:rsidR="00592616" w:rsidRDefault="00592616" w:rsidP="00CD5F2F"/>
    <w:p w14:paraId="20E962A9" w14:textId="55605123" w:rsidR="00592616" w:rsidRDefault="00592616">
      <w:pPr>
        <w:spacing w:before="0" w:after="0" w:line="240" w:lineRule="auto"/>
        <w:jc w:val="left"/>
      </w:pPr>
    </w:p>
    <w:p w14:paraId="22C6145E" w14:textId="4D57AED5" w:rsidR="00E3086F" w:rsidRDefault="00E3086F" w:rsidP="00CD5F2F">
      <w:pPr>
        <w:pStyle w:val="Heading2"/>
      </w:pPr>
      <w:bookmarkStart w:id="6" w:name="_Ref71276565"/>
      <w:bookmarkStart w:id="7" w:name="_Toc87348687"/>
      <w:r>
        <w:t>Dôvod</w:t>
      </w:r>
      <w:bookmarkEnd w:id="6"/>
      <w:bookmarkEnd w:id="7"/>
    </w:p>
    <w:p w14:paraId="6C0A4260" w14:textId="6020278B" w:rsidR="00AC6308" w:rsidRDefault="00AC6308" w:rsidP="00AC6308">
      <w:r>
        <w:t xml:space="preserve">Predmetom tejto štúdie je posúdenie uskutočniteľnosti a výhodnosti realizácie projektu, zhodnotenie podmienok a vytvorenie predpokladov pre realizáciu a financovanie projektu Implementácie EETS do </w:t>
      </w:r>
      <w:r w:rsidR="00DD1C2F">
        <w:t>K</w:t>
      </w:r>
      <w:r>
        <w:t>omplexnej služby elektronického výberu mýta.</w:t>
      </w:r>
    </w:p>
    <w:p w14:paraId="461E1D5B" w14:textId="77777777" w:rsidR="00270548" w:rsidRDefault="00270548" w:rsidP="00270548">
      <w:pPr>
        <w:pStyle w:val="Heading3"/>
      </w:pPr>
      <w:bookmarkStart w:id="8" w:name="_Toc87348688"/>
      <w:r>
        <w:t>Dôvody realizácie EETS</w:t>
      </w:r>
      <w:bookmarkEnd w:id="8"/>
    </w:p>
    <w:p w14:paraId="3F0D031D" w14:textId="4C99F728" w:rsidR="00270548" w:rsidRDefault="000E6AB8" w:rsidP="00533FC1">
      <w:pPr>
        <w:pStyle w:val="ListParagraph"/>
        <w:numPr>
          <w:ilvl w:val="0"/>
          <w:numId w:val="20"/>
        </w:numPr>
      </w:pPr>
      <w:r>
        <w:t xml:space="preserve">Naplnenie požiadaviek </w:t>
      </w:r>
      <w:r w:rsidRPr="000E6AB8">
        <w:t>Smernic</w:t>
      </w:r>
      <w:r>
        <w:t>e</w:t>
      </w:r>
      <w:r w:rsidRPr="000E6AB8">
        <w:t xml:space="preserve"> Európskeho parlamentu a Rady (EÚ) 2019/520 z 19. marca 2019 o interoperabilite elektronických cestných mýtnych systémov a uľahčení cezhraničnej výmeny informácií o neuhradenom cestnom mýte v Únii</w:t>
      </w:r>
      <w:r w:rsidR="00270548">
        <w:t xml:space="preserve"> </w:t>
      </w:r>
      <w:r w:rsidRPr="000E6AB8">
        <w:t>(Ú</w:t>
      </w:r>
      <w:r w:rsidR="005744D3">
        <w:t>. v.</w:t>
      </w:r>
      <w:r w:rsidRPr="000E6AB8">
        <w:t xml:space="preserve"> EÚ L </w:t>
      </w:r>
      <w:r>
        <w:t>91</w:t>
      </w:r>
      <w:r w:rsidRPr="000E6AB8">
        <w:t>, 2</w:t>
      </w:r>
      <w:r>
        <w:t>9</w:t>
      </w:r>
      <w:r w:rsidRPr="000E6AB8">
        <w:t>.</w:t>
      </w:r>
      <w:r>
        <w:t>03</w:t>
      </w:r>
      <w:r w:rsidRPr="000E6AB8">
        <w:t>.20</w:t>
      </w:r>
      <w:r>
        <w:t>19</w:t>
      </w:r>
      <w:r w:rsidRPr="000E6AB8">
        <w:t>),</w:t>
      </w:r>
      <w:r w:rsidR="005819BF">
        <w:t xml:space="preserve"> ďalej len „</w:t>
      </w:r>
      <w:r w:rsidR="005819BF" w:rsidRPr="005819BF">
        <w:rPr>
          <w:b/>
        </w:rPr>
        <w:t>Smernica</w:t>
      </w:r>
      <w:r w:rsidR="005819BF">
        <w:t>“.</w:t>
      </w:r>
      <w:r w:rsidR="00D14D6C">
        <w:t xml:space="preserve"> Smernica </w:t>
      </w:r>
      <w:r w:rsidR="00DD1C2F">
        <w:t>nadobudne</w:t>
      </w:r>
      <w:r w:rsidR="00D14D6C">
        <w:t> účinnosť 19.10.2021.</w:t>
      </w:r>
    </w:p>
    <w:p w14:paraId="2C2D3CA8" w14:textId="5ACDFD15" w:rsidR="000E6AB8" w:rsidRDefault="000E6AB8" w:rsidP="00533FC1">
      <w:pPr>
        <w:pStyle w:val="ListParagraph"/>
        <w:numPr>
          <w:ilvl w:val="0"/>
          <w:numId w:val="20"/>
        </w:numPr>
      </w:pPr>
      <w:r>
        <w:t>Vytvorenie materiálnych, technických a organizačných predpokladov k </w:t>
      </w:r>
      <w:r w:rsidR="00C12C38">
        <w:t>naplneniu</w:t>
      </w:r>
      <w:r>
        <w:t xml:space="preserve"> ustanoven</w:t>
      </w:r>
      <w:r w:rsidR="00C12C38">
        <w:t>í</w:t>
      </w:r>
      <w:r>
        <w:t xml:space="preserve"> § 17 </w:t>
      </w:r>
      <w:r w:rsidR="00BB777C">
        <w:t xml:space="preserve">ods. 1 písm. b) až e) </w:t>
      </w:r>
      <w:r>
        <w:t>zákona č. 474/</w:t>
      </w:r>
      <w:r w:rsidRPr="000E6AB8">
        <w:t>2013 Z. z. o výbere mýta za užívanie vymedzených úsekov pozemných komunikácií a o zmene a doplnení niektorých zákonov</w:t>
      </w:r>
      <w:r w:rsidR="005744D3">
        <w:t xml:space="preserve"> (ďalej len „</w:t>
      </w:r>
      <w:r w:rsidR="005744D3" w:rsidRPr="005744D3">
        <w:rPr>
          <w:b/>
        </w:rPr>
        <w:t>ZVM</w:t>
      </w:r>
      <w:r w:rsidR="005744D3">
        <w:t>“)</w:t>
      </w:r>
      <w:r>
        <w:t>.</w:t>
      </w:r>
    </w:p>
    <w:p w14:paraId="59511D8E" w14:textId="7A968F92" w:rsidR="005E5739" w:rsidRDefault="005E5739" w:rsidP="00533FC1">
      <w:pPr>
        <w:pStyle w:val="ListParagraph"/>
        <w:numPr>
          <w:ilvl w:val="0"/>
          <w:numId w:val="20"/>
        </w:numPr>
      </w:pPr>
      <w:r w:rsidRPr="005E5739">
        <w:t xml:space="preserve">Interoperabilné elektronické cestné mýtne systémy prispievajú k realizácii cieľov stanovených v práve </w:t>
      </w:r>
      <w:r w:rsidR="00CF5941">
        <w:t>EÚ</w:t>
      </w:r>
      <w:r w:rsidRPr="005E5739">
        <w:t xml:space="preserve"> o cestnom mýte.</w:t>
      </w:r>
      <w:r>
        <w:t xml:space="preserve"> </w:t>
      </w:r>
      <w:r w:rsidR="00CF5941" w:rsidRPr="005E5739">
        <w:t xml:space="preserve">Strednodobým </w:t>
      </w:r>
      <w:r w:rsidRPr="005E5739">
        <w:t>až dlhodobým cieľom je umožniť cestovanie v</w:t>
      </w:r>
      <w:r w:rsidR="00CF5941">
        <w:t> EÚ</w:t>
      </w:r>
      <w:r w:rsidRPr="005E5739">
        <w:t xml:space="preserve"> iba s jednou palubnou jednotkou </w:t>
      </w:r>
      <w:r w:rsidR="00CF5941">
        <w:t>p</w:t>
      </w:r>
      <w:r w:rsidRPr="005E5739">
        <w:t>reto, aby sa zabránilo administratívnej záťaži a nákladom pre užívateľov ciest, a uľahč</w:t>
      </w:r>
      <w:r w:rsidR="00CF5941">
        <w:t>il</w:t>
      </w:r>
      <w:r w:rsidRPr="005E5739">
        <w:t xml:space="preserve"> voľn</w:t>
      </w:r>
      <w:r w:rsidR="00CF5941">
        <w:t>ý</w:t>
      </w:r>
      <w:r w:rsidRPr="005E5739">
        <w:t xml:space="preserve"> pohybu osôb a tovaru v </w:t>
      </w:r>
      <w:r w:rsidR="00CF5941">
        <w:t>EÚ</w:t>
      </w:r>
      <w:r w:rsidRPr="005E5739">
        <w:t xml:space="preserve"> bez toho, aby </w:t>
      </w:r>
      <w:r w:rsidR="00CF5941">
        <w:t>bola</w:t>
      </w:r>
      <w:r w:rsidRPr="005E5739">
        <w:t xml:space="preserve"> negatívne ovplyvn</w:t>
      </w:r>
      <w:r w:rsidR="00CF5941">
        <w:t>ená</w:t>
      </w:r>
      <w:r w:rsidRPr="005E5739">
        <w:t xml:space="preserve"> hospodársk</w:t>
      </w:r>
      <w:r w:rsidR="00CF5941">
        <w:t>a</w:t>
      </w:r>
      <w:r w:rsidRPr="005E5739">
        <w:t xml:space="preserve"> súťaž na trhu.</w:t>
      </w:r>
    </w:p>
    <w:p w14:paraId="517B91A5" w14:textId="2B7683F0" w:rsidR="00EA3B1B" w:rsidRDefault="00EA3B1B" w:rsidP="00EA3B1B">
      <w:pPr>
        <w:pStyle w:val="Heading3"/>
      </w:pPr>
      <w:bookmarkStart w:id="9" w:name="_Toc87348689"/>
      <w:r>
        <w:t>Dôvody realizácie EETS pre Správcu výberu mýta</w:t>
      </w:r>
      <w:bookmarkEnd w:id="9"/>
    </w:p>
    <w:p w14:paraId="3FA58FC7" w14:textId="56B74FE1" w:rsidR="00EA3B1B" w:rsidRDefault="00D14D6C" w:rsidP="00533FC1">
      <w:pPr>
        <w:pStyle w:val="ListParagraph"/>
        <w:numPr>
          <w:ilvl w:val="0"/>
          <w:numId w:val="21"/>
        </w:numPr>
      </w:pPr>
      <w:r>
        <w:t>Správcom výberu mýta je Národná diaľničná spoločnosť, a.</w:t>
      </w:r>
      <w:r w:rsidR="00184A6A">
        <w:t> </w:t>
      </w:r>
      <w:r>
        <w:t xml:space="preserve">s. </w:t>
      </w:r>
      <w:r w:rsidR="00EA3B1B">
        <w:t xml:space="preserve">Správca výberu mýta na účely elektronického výberu mýta </w:t>
      </w:r>
      <w:r w:rsidR="00EA3B1B" w:rsidRPr="00CC5818">
        <w:t>získava, zaznamenáva, zhromažď</w:t>
      </w:r>
      <w:r w:rsidR="00EA3B1B">
        <w:t>uje</w:t>
      </w:r>
      <w:r w:rsidR="00EA3B1B" w:rsidRPr="00CC5818">
        <w:t>, spracúva, využíva a</w:t>
      </w:r>
      <w:r w:rsidR="00EA3B1B">
        <w:t> </w:t>
      </w:r>
      <w:r w:rsidR="00EA3B1B" w:rsidRPr="00CC5818">
        <w:t>uchováva</w:t>
      </w:r>
      <w:r w:rsidR="00EA3B1B">
        <w:t xml:space="preserve"> údaje v súlade s § 12 ods. 5 ZVM. Poskytovateľ Európskej služby elektronického výberu mýta je povinný spracúvať a </w:t>
      </w:r>
      <w:r w:rsidR="00B324B6">
        <w:t>Správc</w:t>
      </w:r>
      <w:r w:rsidR="00EA3B1B">
        <w:t xml:space="preserve">ovi výberu mýta odovzdávať údaje podľa § 17 ods. 1 písm. b) až e) ZVM. </w:t>
      </w:r>
    </w:p>
    <w:p w14:paraId="3F95EEAA" w14:textId="2218DD9C" w:rsidR="00786388" w:rsidRDefault="00EA3B1B" w:rsidP="00533FC1">
      <w:pPr>
        <w:pStyle w:val="ListParagraph"/>
        <w:numPr>
          <w:ilvl w:val="0"/>
          <w:numId w:val="21"/>
        </w:numPr>
      </w:pPr>
      <w:r>
        <w:t>Realizáciou EETS sa na strane Správc</w:t>
      </w:r>
      <w:r w:rsidR="00786388">
        <w:t>u</w:t>
      </w:r>
      <w:r>
        <w:t xml:space="preserve"> výberu mýta </w:t>
      </w:r>
      <w:r w:rsidR="00786388">
        <w:t>umožní výmena a spracúvanie údajov odovzdávaných</w:t>
      </w:r>
      <w:r>
        <w:t xml:space="preserve"> </w:t>
      </w:r>
      <w:r w:rsidR="00786388">
        <w:t>poskytovateľmi EETS</w:t>
      </w:r>
      <w:r>
        <w:t xml:space="preserve"> </w:t>
      </w:r>
      <w:r w:rsidR="00786388">
        <w:t xml:space="preserve">podľa § 17 ods. 1 písm. b) až e) ZVM. </w:t>
      </w:r>
    </w:p>
    <w:p w14:paraId="2EFA653E" w14:textId="186C5901" w:rsidR="00786388" w:rsidRDefault="00786388" w:rsidP="00533FC1">
      <w:pPr>
        <w:pStyle w:val="ListParagraph"/>
        <w:numPr>
          <w:ilvl w:val="0"/>
          <w:numId w:val="21"/>
        </w:numPr>
      </w:pPr>
      <w:r>
        <w:t xml:space="preserve">Správca výberu mýta bez zabezpečenia </w:t>
      </w:r>
      <w:r w:rsidRPr="00786388">
        <w:t>prepojiteľnos</w:t>
      </w:r>
      <w:r>
        <w:t>ti</w:t>
      </w:r>
      <w:r w:rsidRPr="00786388">
        <w:t xml:space="preserve"> systémov elektronického výberu mýta</w:t>
      </w:r>
      <w:r>
        <w:t xml:space="preserve"> </w:t>
      </w:r>
      <w:r w:rsidR="007551D4">
        <w:t>nemôže</w:t>
      </w:r>
      <w:r>
        <w:t xml:space="preserve"> uzatvárať zmluvy s</w:t>
      </w:r>
      <w:r w:rsidR="007551D4">
        <w:t xml:space="preserve"> poskytovateľmi EETS podľa § 13 ods. 2 ZVM. Realizáciou projektu EETS budú vytvorené materiálne, technické, procesné a organizačné predpoklady pre uzatváranie zmlúv s poskytovateľmi EETS a začatie poskytovania EETS na území SR v praxi. </w:t>
      </w:r>
    </w:p>
    <w:p w14:paraId="793F12DC" w14:textId="1AFA4B3C" w:rsidR="00786388" w:rsidRDefault="00786388" w:rsidP="00786388">
      <w:pPr>
        <w:pStyle w:val="Heading3"/>
      </w:pPr>
      <w:bookmarkStart w:id="10" w:name="_Toc87348690"/>
      <w:r>
        <w:t>Dôvody realizácie EETS pre poskytovateľov EETS</w:t>
      </w:r>
      <w:bookmarkEnd w:id="10"/>
    </w:p>
    <w:p w14:paraId="7A3E2C32" w14:textId="442F2CC5" w:rsidR="00786388" w:rsidRDefault="00786388" w:rsidP="00533FC1">
      <w:pPr>
        <w:pStyle w:val="ListParagraph"/>
        <w:numPr>
          <w:ilvl w:val="0"/>
          <w:numId w:val="21"/>
        </w:numPr>
      </w:pPr>
      <w:r>
        <w:t xml:space="preserve">Poskytovateľ EETS </w:t>
      </w:r>
      <w:r w:rsidR="007551D4">
        <w:t xml:space="preserve">má právo v súlade s § 13 ZVM po splnení zákonných podmienok uzatvoriť zmluvu so </w:t>
      </w:r>
      <w:r w:rsidR="00B324B6">
        <w:t>Správc</w:t>
      </w:r>
      <w:r w:rsidR="007551D4">
        <w:t>om výberu mýt</w:t>
      </w:r>
      <w:r w:rsidR="00B35A9D">
        <w:t>a</w:t>
      </w:r>
      <w:r w:rsidR="007551D4">
        <w:t xml:space="preserve"> o poskytovaní EETS na území SR. Toto právo poskytovateľa EETS nie je v praxi vykonateľné bez toho, aby </w:t>
      </w:r>
      <w:r w:rsidR="00B324B6">
        <w:t>Správc</w:t>
      </w:r>
      <w:r w:rsidR="007551D4">
        <w:t xml:space="preserve">a výberu mýta na svojej strane technicky zabezpečil vzájomnú </w:t>
      </w:r>
      <w:r w:rsidR="007551D4" w:rsidRPr="007551D4">
        <w:t>prepojiteľnosť systémov elektronického výberu mýta</w:t>
      </w:r>
      <w:r w:rsidR="007551D4">
        <w:t>.</w:t>
      </w:r>
    </w:p>
    <w:p w14:paraId="03C38DD1" w14:textId="735FDF1D" w:rsidR="00786388" w:rsidRDefault="00786388" w:rsidP="00533FC1">
      <w:pPr>
        <w:pStyle w:val="ListParagraph"/>
        <w:numPr>
          <w:ilvl w:val="0"/>
          <w:numId w:val="21"/>
        </w:numPr>
      </w:pPr>
      <w:r>
        <w:t xml:space="preserve">Poskytovateľ </w:t>
      </w:r>
      <w:r w:rsidR="00600FFF">
        <w:t>EETS</w:t>
      </w:r>
      <w:r>
        <w:t xml:space="preserve"> je povinný spracúvať a </w:t>
      </w:r>
      <w:r w:rsidR="00B324B6">
        <w:t>Správc</w:t>
      </w:r>
      <w:r>
        <w:t xml:space="preserve">ovi výberu mýta odovzdávať údaje podľa § 17 ods. 1 písm. b) až e) ZVM. </w:t>
      </w:r>
      <w:r w:rsidR="00600FFF">
        <w:t>T</w:t>
      </w:r>
      <w:r w:rsidR="00B35A9D">
        <w:t>ú</w:t>
      </w:r>
      <w:r w:rsidR="00600FFF">
        <w:t xml:space="preserve">to svoju povinnosť môže splniť iba za predpokladu, že na to bude </w:t>
      </w:r>
      <w:r w:rsidR="00B324B6">
        <w:t>Správc</w:t>
      </w:r>
      <w:r w:rsidR="00600FFF">
        <w:t>a výberu mýta materiálne, procesne a technicky pripravený.</w:t>
      </w:r>
    </w:p>
    <w:p w14:paraId="1B8456D4" w14:textId="5F28D9B1" w:rsidR="00270548" w:rsidRDefault="000303AC" w:rsidP="00270548">
      <w:pPr>
        <w:pStyle w:val="Heading3"/>
      </w:pPr>
      <w:bookmarkStart w:id="11" w:name="_Toc87348691"/>
      <w:r>
        <w:t xml:space="preserve">Dôvody </w:t>
      </w:r>
      <w:r w:rsidR="00270548" w:rsidRPr="00270548">
        <w:t>Implementácie EETS do komplexnej služby elektronického výberu mýta</w:t>
      </w:r>
      <w:bookmarkEnd w:id="11"/>
    </w:p>
    <w:p w14:paraId="12AB136A" w14:textId="658906F9" w:rsidR="00BC047F" w:rsidRDefault="00600FFF" w:rsidP="00533FC1">
      <w:pPr>
        <w:pStyle w:val="ListParagraph"/>
        <w:numPr>
          <w:ilvl w:val="0"/>
          <w:numId w:val="21"/>
        </w:numPr>
      </w:pPr>
      <w:r>
        <w:t xml:space="preserve">Projekt „Implementácia EETS“ vytvára predpoklady pre jednoduchú prepojiteľnosť systémov elektronického výberu mýta v členských štátoch Európskej únie v súlade s § 13 ZVM. </w:t>
      </w:r>
      <w:r w:rsidR="00BC047F">
        <w:t>Navrhuje sa zabezpečiť p</w:t>
      </w:r>
      <w:r w:rsidRPr="00600FFF">
        <w:t>repojiteľnos</w:t>
      </w:r>
      <w:r w:rsidR="00BC047F">
        <w:t>ť</w:t>
      </w:r>
      <w:r w:rsidRPr="00600FFF">
        <w:t xml:space="preserve"> systémov elektronického výberu mýta</w:t>
      </w:r>
      <w:r>
        <w:t xml:space="preserve"> </w:t>
      </w:r>
      <w:r w:rsidR="00D14D6C">
        <w:t>r</w:t>
      </w:r>
      <w:r w:rsidR="00BC047F">
        <w:t>ozšírením jestvujúceho rozsahu služieb.</w:t>
      </w:r>
    </w:p>
    <w:p w14:paraId="7D028433" w14:textId="3FFF62DB" w:rsidR="00BC047F" w:rsidRDefault="00D14D6C" w:rsidP="00533FC1">
      <w:pPr>
        <w:pStyle w:val="ListParagraph"/>
        <w:numPr>
          <w:ilvl w:val="0"/>
          <w:numId w:val="21"/>
        </w:numPr>
      </w:pPr>
      <w:r>
        <w:lastRenderedPageBreak/>
        <w:t xml:space="preserve">Správca výberu mýta v súlade s </w:t>
      </w:r>
      <w:r w:rsidRPr="000303AC">
        <w:t>§ 12 ods. 2</w:t>
      </w:r>
      <w:r>
        <w:t xml:space="preserve"> ZVM poveril prevádzkovaním výberu mýta vrátane kontroly výberu mýta podľa ZVM inú osobu</w:t>
      </w:r>
      <w:r w:rsidR="00184A6A">
        <w:t>;</w:t>
      </w:r>
      <w:r>
        <w:t xml:space="preserve"> touto osobou je </w:t>
      </w:r>
      <w:r w:rsidRPr="006C1BA9">
        <w:t>spoločnosť SkyToll, a. s., Westend Square, Lamačská cesta 3/B, 841 04 Bratislava</w:t>
      </w:r>
      <w:r>
        <w:t>, ďalej len „</w:t>
      </w:r>
      <w:r w:rsidRPr="00D14D6C">
        <w:rPr>
          <w:b/>
        </w:rPr>
        <w:t>SkyToll</w:t>
      </w:r>
      <w:r>
        <w:t xml:space="preserve">“. </w:t>
      </w:r>
      <w:r w:rsidR="00BC047F">
        <w:t xml:space="preserve">Zabezpečenie prepojiteľnosti systémov elektronického výberu mýta sa zo svojej podstaty </w:t>
      </w:r>
      <w:r>
        <w:t>vzťahuje</w:t>
      </w:r>
      <w:r w:rsidR="00BC047F">
        <w:t xml:space="preserve"> </w:t>
      </w:r>
      <w:r>
        <w:t xml:space="preserve">na </w:t>
      </w:r>
      <w:r w:rsidR="00BC047F">
        <w:t xml:space="preserve">úpravy jestvujúceho </w:t>
      </w:r>
      <w:r>
        <w:t>rozsahu služieb</w:t>
      </w:r>
      <w:r w:rsidR="00BC047F">
        <w:t>, a</w:t>
      </w:r>
      <w:r w:rsidR="004D69A4">
        <w:t xml:space="preserve"> tak </w:t>
      </w:r>
      <w:r w:rsidR="00BC047F">
        <w:t>z technických dôvodov neexistuje primeraná alternatíva iná ako zúženie verejnej súťaže na priame rokovacie konanie</w:t>
      </w:r>
      <w:r>
        <w:t xml:space="preserve"> so spoločnosťou SkyToll</w:t>
      </w:r>
      <w:r w:rsidR="00BC047F">
        <w:t xml:space="preserve">.  </w:t>
      </w:r>
    </w:p>
    <w:p w14:paraId="67D25D23" w14:textId="06DD1674" w:rsidR="004D69A4" w:rsidRDefault="004D69A4" w:rsidP="004D69A4">
      <w:pPr>
        <w:pStyle w:val="Heading3"/>
      </w:pPr>
      <w:bookmarkStart w:id="12" w:name="_Toc87348692"/>
      <w:r>
        <w:t xml:space="preserve">Dôvody </w:t>
      </w:r>
      <w:r w:rsidRPr="00270548">
        <w:t xml:space="preserve">Implementácie EETS </w:t>
      </w:r>
      <w:r>
        <w:t>pre prevádzkovateľov vozidiel</w:t>
      </w:r>
      <w:bookmarkEnd w:id="12"/>
    </w:p>
    <w:p w14:paraId="17BA27AD" w14:textId="032E9B59" w:rsidR="00FD1C8A" w:rsidRDefault="004D69A4" w:rsidP="00533FC1">
      <w:pPr>
        <w:pStyle w:val="ListParagraph"/>
        <w:numPr>
          <w:ilvl w:val="0"/>
          <w:numId w:val="22"/>
        </w:numPr>
      </w:pPr>
      <w:r>
        <w:t xml:space="preserve">Zjednodušenie administratívnej náročnosti spojenej s úhradou mýta v rôznych krajinách v dôsledku uplatnenia princípu „jedna zmluva – jedna palubná jednotka – jedna faktúra“. </w:t>
      </w:r>
      <w:r w:rsidR="00AC6308">
        <w:t xml:space="preserve"> </w:t>
      </w:r>
    </w:p>
    <w:p w14:paraId="2E0A6386" w14:textId="30422744" w:rsidR="002770C6" w:rsidRDefault="002770C6" w:rsidP="002770C6">
      <w:pPr>
        <w:pStyle w:val="Heading3"/>
      </w:pPr>
      <w:bookmarkStart w:id="13" w:name="_Toc87348693"/>
      <w:r w:rsidRPr="002770C6">
        <w:t>Negatívny stav v prípade, ak projekt nebude realizovaný</w:t>
      </w:r>
      <w:bookmarkEnd w:id="13"/>
    </w:p>
    <w:p w14:paraId="74DCF54C" w14:textId="04E09A6D" w:rsidR="005E5739" w:rsidRDefault="002770C6" w:rsidP="00533FC1">
      <w:pPr>
        <w:pStyle w:val="ListParagraph"/>
        <w:numPr>
          <w:ilvl w:val="0"/>
          <w:numId w:val="22"/>
        </w:numPr>
      </w:pPr>
      <w:r>
        <w:t xml:space="preserve">Hlavný prínos riešenia je v tom, že napomôže zmeniť aktuálny stav, ktorý je v oblasti </w:t>
      </w:r>
      <w:r w:rsidR="00CF5941">
        <w:t xml:space="preserve">absencie technického zabezpečenia </w:t>
      </w:r>
      <w:r w:rsidR="005E5739">
        <w:t xml:space="preserve">EETS </w:t>
      </w:r>
      <w:r>
        <w:t>neudržateľný</w:t>
      </w:r>
      <w:r w:rsidR="005E5739">
        <w:t xml:space="preserve">. </w:t>
      </w:r>
    </w:p>
    <w:p w14:paraId="62D28246" w14:textId="5CE055A8" w:rsidR="002770C6" w:rsidRDefault="005E5739" w:rsidP="00533FC1">
      <w:pPr>
        <w:pStyle w:val="ListParagraph"/>
        <w:numPr>
          <w:ilvl w:val="0"/>
          <w:numId w:val="22"/>
        </w:numPr>
      </w:pPr>
      <w:r>
        <w:t xml:space="preserve">Správca výberu mýta </w:t>
      </w:r>
      <w:r w:rsidR="002062D5">
        <w:t xml:space="preserve">v súčasnosti </w:t>
      </w:r>
      <w:r>
        <w:t xml:space="preserve">nemá a bez projektu nebude mať vytvorené materiálne a technické podmienky na zabezpečenie povinností podľa ZVM a Smernice. </w:t>
      </w:r>
    </w:p>
    <w:p w14:paraId="47B58C67" w14:textId="43804732" w:rsidR="005E5739" w:rsidRDefault="005E5739" w:rsidP="00DE65B6">
      <w:pPr>
        <w:pStyle w:val="ListParagraph"/>
        <w:numPr>
          <w:ilvl w:val="0"/>
          <w:numId w:val="22"/>
        </w:numPr>
      </w:pPr>
      <w:r>
        <w:t xml:space="preserve">Slovenská republika </w:t>
      </w:r>
      <w:r w:rsidR="00DE65B6">
        <w:t xml:space="preserve">v predmetnej oblasti nenapĺňa a stále </w:t>
      </w:r>
      <w:r>
        <w:t xml:space="preserve">nebude </w:t>
      </w:r>
      <w:r w:rsidR="00DE65B6">
        <w:t xml:space="preserve">napĺňať </w:t>
      </w:r>
      <w:r w:rsidR="00CF5941">
        <w:t>v praxi</w:t>
      </w:r>
      <w:r>
        <w:t xml:space="preserve"> svoje záväzky vyplývajúce zo Zmluvy o fungovaní Európskej únie. </w:t>
      </w:r>
      <w:r w:rsidR="002062D5">
        <w:t xml:space="preserve">Zo strany Európskej </w:t>
      </w:r>
      <w:r w:rsidR="007C1859">
        <w:t>k</w:t>
      </w:r>
      <w:r w:rsidR="002062D5">
        <w:t>omisie reálne h</w:t>
      </w:r>
      <w:r w:rsidR="00DE65B6">
        <w:t>rozí začatie fo</w:t>
      </w:r>
      <w:r w:rsidR="00DE65B6" w:rsidRPr="00DE65B6">
        <w:t>rmálne</w:t>
      </w:r>
      <w:r w:rsidR="00DE65B6">
        <w:t>ho</w:t>
      </w:r>
      <w:r w:rsidR="00DE65B6" w:rsidRPr="00DE65B6">
        <w:t xml:space="preserve"> konani</w:t>
      </w:r>
      <w:r w:rsidR="00DE65B6">
        <w:t>a</w:t>
      </w:r>
      <w:r w:rsidR="00DE65B6" w:rsidRPr="00DE65B6">
        <w:t xml:space="preserve"> </w:t>
      </w:r>
      <w:r w:rsidR="00DE65B6">
        <w:t xml:space="preserve">voči Slovenskej republike </w:t>
      </w:r>
      <w:r w:rsidR="00DE65B6" w:rsidRPr="00DE65B6">
        <w:t>o porušení povinnosti vyplývajúcej z práva EÚ.</w:t>
      </w:r>
      <w:r>
        <w:t xml:space="preserve"> </w:t>
      </w:r>
    </w:p>
    <w:p w14:paraId="5D96B451" w14:textId="285BF300" w:rsidR="002062D5" w:rsidRPr="00FD1C8A" w:rsidRDefault="002062D5" w:rsidP="00DE65B6">
      <w:pPr>
        <w:pStyle w:val="ListParagraph"/>
        <w:numPr>
          <w:ilvl w:val="0"/>
          <w:numId w:val="22"/>
        </w:numPr>
      </w:pPr>
      <w:r>
        <w:t>Záujemcovia o poskytovanie EETS na území Slovenskej republiky sa môžu domáhať svojich práv a odškodnenia súdnou cestou.</w:t>
      </w:r>
    </w:p>
    <w:p w14:paraId="240812CC" w14:textId="714A9310" w:rsidR="00E3086F" w:rsidRDefault="00FD1C8A" w:rsidP="00CD5F2F">
      <w:pPr>
        <w:pStyle w:val="Heading2"/>
      </w:pPr>
      <w:bookmarkStart w:id="14" w:name="_Toc87348694"/>
      <w:r>
        <w:t>R</w:t>
      </w:r>
      <w:r w:rsidR="00E3086F">
        <w:t>ozsah</w:t>
      </w:r>
      <w:bookmarkEnd w:id="14"/>
    </w:p>
    <w:p w14:paraId="54F8BE2E" w14:textId="01D7A683" w:rsidR="002770C6" w:rsidRPr="002770C6" w:rsidRDefault="002770C6" w:rsidP="002770C6">
      <w:r>
        <w:t>Jedná sa o jednoduchý projekt, ktorý nebude realizovaný na dopytovú výzvu.</w:t>
      </w:r>
    </w:p>
    <w:p w14:paraId="36985E05" w14:textId="4B605621" w:rsidR="004D69A4" w:rsidRPr="004D69A4" w:rsidRDefault="004D69A4" w:rsidP="004D69A4">
      <w:pPr>
        <w:pStyle w:val="Heading3"/>
      </w:pPr>
      <w:bookmarkStart w:id="15" w:name="_Toc87348695"/>
      <w:r>
        <w:t>Vymedzenie subjektov, ktorých sa navrhované riešenie týka</w:t>
      </w:r>
      <w:bookmarkEnd w:id="15"/>
    </w:p>
    <w:p w14:paraId="4C97A928" w14:textId="18AF07EB" w:rsidR="004D69A4" w:rsidRDefault="004D69A4" w:rsidP="00533FC1">
      <w:pPr>
        <w:pStyle w:val="ListParagraph"/>
        <w:numPr>
          <w:ilvl w:val="0"/>
          <w:numId w:val="22"/>
        </w:numPr>
      </w:pPr>
      <w:r w:rsidRPr="002770C6">
        <w:rPr>
          <w:b/>
        </w:rPr>
        <w:t>Správca výberu mýta</w:t>
      </w:r>
      <w:r>
        <w:t xml:space="preserve"> spracúva údaje od poskytovateľov EETS</w:t>
      </w:r>
      <w:r w:rsidR="007E59B9">
        <w:t xml:space="preserve"> a účtuje súhrnné mýto poskytovateľom EETS.</w:t>
      </w:r>
    </w:p>
    <w:p w14:paraId="48BAC4F3" w14:textId="2B3828A0" w:rsidR="007E59B9" w:rsidRDefault="007E59B9" w:rsidP="00533FC1">
      <w:pPr>
        <w:pStyle w:val="ListParagraph"/>
        <w:numPr>
          <w:ilvl w:val="0"/>
          <w:numId w:val="22"/>
        </w:numPr>
      </w:pPr>
      <w:r w:rsidRPr="002770C6">
        <w:rPr>
          <w:b/>
        </w:rPr>
        <w:t>Poskytovateľ EETS</w:t>
      </w:r>
      <w:r>
        <w:t xml:space="preserve"> </w:t>
      </w:r>
      <w:r w:rsidR="00E25138">
        <w:t>vyberá mýto</w:t>
      </w:r>
      <w:r>
        <w:t xml:space="preserve"> </w:t>
      </w:r>
      <w:r w:rsidR="00E25138">
        <w:t xml:space="preserve">podľa ZVM od </w:t>
      </w:r>
      <w:r>
        <w:t>prevádzkovateľo</w:t>
      </w:r>
      <w:r w:rsidR="00E25138">
        <w:t>v</w:t>
      </w:r>
      <w:r>
        <w:t xml:space="preserve"> vozidiel, ktorí </w:t>
      </w:r>
      <w:r w:rsidR="00E25138">
        <w:t xml:space="preserve">s ním majú </w:t>
      </w:r>
      <w:r>
        <w:t>uzatvor</w:t>
      </w:r>
      <w:r w:rsidR="00E25138">
        <w:t>enú zmluvu</w:t>
      </w:r>
      <w:r w:rsidR="007C63F7">
        <w:t>,</w:t>
      </w:r>
      <w:r w:rsidR="00E25138">
        <w:t xml:space="preserve"> a vybrané mýto súhrnne odvádza </w:t>
      </w:r>
      <w:r w:rsidR="00B324B6">
        <w:t>Správc</w:t>
      </w:r>
      <w:r w:rsidR="00E25138">
        <w:t>ovi výberu mýta</w:t>
      </w:r>
      <w:r w:rsidR="00E25138" w:rsidRPr="00E25138">
        <w:t xml:space="preserve"> </w:t>
      </w:r>
      <w:r w:rsidR="00E25138">
        <w:t>za dohodnutých podmienok.</w:t>
      </w:r>
    </w:p>
    <w:p w14:paraId="484B4688" w14:textId="0DCF7BFF" w:rsidR="00E25138" w:rsidRDefault="00E25138" w:rsidP="00533FC1">
      <w:pPr>
        <w:pStyle w:val="ListParagraph"/>
        <w:numPr>
          <w:ilvl w:val="0"/>
          <w:numId w:val="22"/>
        </w:numPr>
      </w:pPr>
      <w:r w:rsidRPr="002770C6">
        <w:rPr>
          <w:b/>
        </w:rPr>
        <w:t>Prevádzkovateľ vozidla</w:t>
      </w:r>
      <w:r>
        <w:t xml:space="preserve"> </w:t>
      </w:r>
      <w:r w:rsidR="002E6D37">
        <w:t xml:space="preserve">v režime EETS </w:t>
      </w:r>
      <w:r>
        <w:t>uzatvára zmluvu s poskytovateľom EETS a uhrádza mýto prostredníctvom tohto poskytovateľa. Je povinný inštalovať do vozidla interoperabilnú palubnú jednotku</w:t>
      </w:r>
      <w:r w:rsidR="007C63F7">
        <w:t>,</w:t>
      </w:r>
      <w:r>
        <w:t> palubnú jednotku uviesť do prevádzky a používať pred a pri užívaní vymedzených úsekov ciest podľa ZVM.</w:t>
      </w:r>
    </w:p>
    <w:p w14:paraId="0435EA3B" w14:textId="4EBAF993" w:rsidR="002E6D37" w:rsidRDefault="002E6D37" w:rsidP="00533FC1">
      <w:pPr>
        <w:pStyle w:val="ListParagraph"/>
        <w:numPr>
          <w:ilvl w:val="0"/>
          <w:numId w:val="22"/>
        </w:numPr>
      </w:pPr>
      <w:r w:rsidRPr="002770C6">
        <w:rPr>
          <w:b/>
        </w:rPr>
        <w:t>Vodič vozidla</w:t>
      </w:r>
      <w:r>
        <w:t xml:space="preserve"> v režime EETS je povinný používať interoperabilnú palubnú jednotku pri užívaní vymedzených úsekov ciest a je povinný podrobiť sa kontrole úhrady mýta podľa ZVM.</w:t>
      </w:r>
    </w:p>
    <w:p w14:paraId="49CFFA22" w14:textId="03D7C905" w:rsidR="007E59B9" w:rsidRDefault="007E59B9" w:rsidP="00533FC1">
      <w:pPr>
        <w:pStyle w:val="ListParagraph"/>
        <w:numPr>
          <w:ilvl w:val="0"/>
          <w:numId w:val="22"/>
        </w:numPr>
      </w:pPr>
      <w:r w:rsidRPr="002770C6">
        <w:rPr>
          <w:b/>
        </w:rPr>
        <w:t>Poverená osoba</w:t>
      </w:r>
      <w:r>
        <w:t xml:space="preserve"> (SkyToll) prevádzkuje výber mýta a vykonáva kontrolu výberu mýta podľa ZVM vrátane spracúvania dát a kontroly vozidiel v režime EETS.</w:t>
      </w:r>
    </w:p>
    <w:p w14:paraId="158AFBA2" w14:textId="09F48136" w:rsidR="007E59B9" w:rsidRPr="007E59B9" w:rsidRDefault="007E59B9" w:rsidP="00533FC1">
      <w:pPr>
        <w:pStyle w:val="ListParagraph"/>
        <w:numPr>
          <w:ilvl w:val="0"/>
          <w:numId w:val="22"/>
        </w:numPr>
      </w:pPr>
      <w:r w:rsidRPr="002770C6">
        <w:rPr>
          <w:b/>
        </w:rPr>
        <w:t>Mýtna polícia</w:t>
      </w:r>
      <w:r>
        <w:t xml:space="preserve"> </w:t>
      </w:r>
      <w:r w:rsidRPr="007E59B9">
        <w:t xml:space="preserve">vykonáva kontrolu výberu mýta </w:t>
      </w:r>
      <w:r>
        <w:t>vrátane</w:t>
      </w:r>
      <w:r w:rsidRPr="007E59B9">
        <w:t xml:space="preserve"> kontroly vozidiel v režime EETS.</w:t>
      </w:r>
    </w:p>
    <w:p w14:paraId="08477D8A" w14:textId="12891422" w:rsidR="007E59B9" w:rsidRDefault="007E59B9" w:rsidP="00533FC1">
      <w:pPr>
        <w:pStyle w:val="ListParagraph"/>
        <w:numPr>
          <w:ilvl w:val="0"/>
          <w:numId w:val="22"/>
        </w:numPr>
      </w:pPr>
      <w:r w:rsidRPr="002770C6">
        <w:rPr>
          <w:b/>
        </w:rPr>
        <w:t>Národné kontaktné miesto</w:t>
      </w:r>
      <w:r>
        <w:t xml:space="preserve"> EUCARIS umožňuje cezhraničnú výmenu informácií o neuhradenom mýte.</w:t>
      </w:r>
    </w:p>
    <w:p w14:paraId="71E06C29" w14:textId="77777777" w:rsidR="007E59B9" w:rsidRDefault="007E59B9" w:rsidP="00533FC1">
      <w:pPr>
        <w:pStyle w:val="ListParagraph"/>
        <w:numPr>
          <w:ilvl w:val="0"/>
          <w:numId w:val="22"/>
        </w:numPr>
      </w:pPr>
      <w:r w:rsidRPr="002770C6">
        <w:rPr>
          <w:b/>
        </w:rPr>
        <w:t>Ministerstvo dopravy a výstavby SR</w:t>
      </w:r>
      <w:r>
        <w:t xml:space="preserve"> plní úlohy podľa ZVM.</w:t>
      </w:r>
    </w:p>
    <w:p w14:paraId="2FD61513" w14:textId="07FFBA52" w:rsidR="007E59B9" w:rsidRDefault="007E59B9" w:rsidP="00533FC1">
      <w:pPr>
        <w:pStyle w:val="ListParagraph"/>
        <w:numPr>
          <w:ilvl w:val="0"/>
          <w:numId w:val="22"/>
        </w:numPr>
      </w:pPr>
      <w:r w:rsidRPr="002770C6">
        <w:rPr>
          <w:b/>
        </w:rPr>
        <w:t>Autorizovaná osoba</w:t>
      </w:r>
      <w:r>
        <w:t xml:space="preserve"> posudzuje zložky interoperability podľa ZVM. </w:t>
      </w:r>
    </w:p>
    <w:p w14:paraId="6347AFF4" w14:textId="49BA82FE" w:rsidR="002E6D37" w:rsidRPr="004D69A4" w:rsidRDefault="002E6D37" w:rsidP="002E6D37">
      <w:pPr>
        <w:pStyle w:val="Heading3"/>
      </w:pPr>
      <w:bookmarkStart w:id="16" w:name="_Toc87348696"/>
      <w:r>
        <w:lastRenderedPageBreak/>
        <w:t>Územné ohraničenie</w:t>
      </w:r>
      <w:bookmarkEnd w:id="16"/>
    </w:p>
    <w:p w14:paraId="789B7F27" w14:textId="247B4556" w:rsidR="002E6D37" w:rsidRDefault="002E6D37" w:rsidP="00533FC1">
      <w:pPr>
        <w:pStyle w:val="ListParagraph"/>
        <w:numPr>
          <w:ilvl w:val="0"/>
          <w:numId w:val="23"/>
        </w:numPr>
      </w:pPr>
      <w:r>
        <w:t>Realizácia EETS sa týka užívania vymedzených úsekov ciest na území Slovensk</w:t>
      </w:r>
      <w:r w:rsidR="000C7FA4">
        <w:t>ej republiky</w:t>
      </w:r>
      <w:r>
        <w:t xml:space="preserve"> v rozsahu stanovenom Vyhláškou Ministerstva dopravy a výstavby Slovenskej republiky č. 228/2020 Z. z., ktorou sa vymedzujú úseky diaľnic, ciest I. triedy a ciest II. triedy s výberom mýta.</w:t>
      </w:r>
    </w:p>
    <w:p w14:paraId="6861D581" w14:textId="499621CF" w:rsidR="002E6D37" w:rsidRDefault="002E6D37" w:rsidP="002E6D37">
      <w:pPr>
        <w:pStyle w:val="Heading3"/>
      </w:pPr>
      <w:bookmarkStart w:id="17" w:name="_Toc87348697"/>
      <w:r>
        <w:t>Ohraničenie situácie</w:t>
      </w:r>
      <w:bookmarkEnd w:id="17"/>
    </w:p>
    <w:p w14:paraId="19118248" w14:textId="02B513B5" w:rsidR="002E6D37" w:rsidRDefault="002E6D37" w:rsidP="00533FC1">
      <w:pPr>
        <w:pStyle w:val="ListParagraph"/>
        <w:numPr>
          <w:ilvl w:val="0"/>
          <w:numId w:val="23"/>
        </w:numPr>
      </w:pPr>
      <w:r w:rsidRPr="002E6D37">
        <w:t>Zabezpečenie prepojiteľnosti systémov elektronického výberu mýta</w:t>
      </w:r>
      <w:r>
        <w:t xml:space="preserve"> na základe potrieb uvedených v čl. </w:t>
      </w:r>
      <w:r>
        <w:fldChar w:fldCharType="begin"/>
      </w:r>
      <w:r>
        <w:instrText xml:space="preserve"> REF _Ref71276565 \r \p \h </w:instrText>
      </w:r>
      <w:r>
        <w:fldChar w:fldCharType="separate"/>
      </w:r>
      <w:r w:rsidR="00A86720">
        <w:t>2.2 vyššie</w:t>
      </w:r>
      <w:r>
        <w:fldChar w:fldCharType="end"/>
      </w:r>
      <w:r w:rsidR="00885387">
        <w:t>:</w:t>
      </w:r>
    </w:p>
    <w:p w14:paraId="6109B5B1" w14:textId="281FCB76" w:rsidR="00885387" w:rsidRDefault="002E6D37" w:rsidP="00533FC1">
      <w:pPr>
        <w:pStyle w:val="ListParagraph"/>
        <w:numPr>
          <w:ilvl w:val="1"/>
          <w:numId w:val="23"/>
        </w:numPr>
      </w:pPr>
      <w:r>
        <w:t xml:space="preserve">Realizácia a prevádzka otvoreného rozhrania pre výmenu údajov medzi </w:t>
      </w:r>
      <w:r w:rsidR="00B324B6">
        <w:t>Správc</w:t>
      </w:r>
      <w:r>
        <w:t>om výberu mýta a poskytovateľmi EETS</w:t>
      </w:r>
      <w:r w:rsidR="00885387">
        <w:t>.</w:t>
      </w:r>
    </w:p>
    <w:p w14:paraId="380F3D00" w14:textId="77777777" w:rsidR="00885387" w:rsidRDefault="002E6D37" w:rsidP="00533FC1">
      <w:pPr>
        <w:pStyle w:val="ListParagraph"/>
        <w:numPr>
          <w:ilvl w:val="1"/>
          <w:numId w:val="23"/>
        </w:numPr>
      </w:pPr>
      <w:r>
        <w:t xml:space="preserve">Realizácia a prevádzka otvoreného </w:t>
      </w:r>
      <w:r w:rsidR="00885387">
        <w:t>rozhrania pre kontrolnú komunikáciu s interoperabilnými palubnými jednotkami za účelom kontroly úhrady mýta podľa ZVM.</w:t>
      </w:r>
    </w:p>
    <w:p w14:paraId="39E56DE2" w14:textId="407B6480" w:rsidR="00885387" w:rsidRDefault="00885387" w:rsidP="00533FC1">
      <w:pPr>
        <w:pStyle w:val="ListParagraph"/>
        <w:numPr>
          <w:ilvl w:val="0"/>
          <w:numId w:val="23"/>
        </w:numPr>
      </w:pPr>
      <w:r>
        <w:t xml:space="preserve">Zabezpečenie </w:t>
      </w:r>
      <w:r w:rsidR="00CC5D7F">
        <w:t xml:space="preserve">biznis procesov a </w:t>
      </w:r>
      <w:r>
        <w:t>spracovania údajov</w:t>
      </w:r>
      <w:r w:rsidR="00CC5D7F">
        <w:t>, týkajúcich sa:</w:t>
      </w:r>
      <w:r>
        <w:t xml:space="preserve"> </w:t>
      </w:r>
    </w:p>
    <w:p w14:paraId="532E3E15" w14:textId="3164251C" w:rsidR="00885387" w:rsidRDefault="00885387" w:rsidP="00533FC1">
      <w:pPr>
        <w:pStyle w:val="ListParagraph"/>
        <w:numPr>
          <w:ilvl w:val="1"/>
          <w:numId w:val="23"/>
        </w:numPr>
      </w:pPr>
      <w:r>
        <w:t>prevádzkovateľo</w:t>
      </w:r>
      <w:r w:rsidR="00CC5D7F">
        <w:t>v</w:t>
      </w:r>
      <w:r>
        <w:t xml:space="preserve"> vozidiel, ktorí uzatvorili zmluvu s poskytovateľom EETS,</w:t>
      </w:r>
    </w:p>
    <w:p w14:paraId="22B18F63" w14:textId="66CD31D3" w:rsidR="00885387" w:rsidRDefault="00CC5D7F" w:rsidP="00533FC1">
      <w:pPr>
        <w:pStyle w:val="ListParagraph"/>
        <w:numPr>
          <w:ilvl w:val="1"/>
          <w:numId w:val="23"/>
        </w:numPr>
      </w:pPr>
      <w:r>
        <w:t>vozidiel</w:t>
      </w:r>
      <w:r w:rsidR="00885387">
        <w:t xml:space="preserve"> a interoperabilných palubných </w:t>
      </w:r>
      <w:r w:rsidR="00B324B6">
        <w:t xml:space="preserve">jednotiek </w:t>
      </w:r>
      <w:r w:rsidR="00885387">
        <w:t>prevádzkovateľov vozidiel, ktorí uzatvorili zmluvu s poskytovateľom EETS,</w:t>
      </w:r>
    </w:p>
    <w:p w14:paraId="24042F82" w14:textId="25D7245C" w:rsidR="00885387" w:rsidRDefault="00885387" w:rsidP="00533FC1">
      <w:pPr>
        <w:pStyle w:val="ListParagraph"/>
        <w:numPr>
          <w:ilvl w:val="1"/>
          <w:numId w:val="23"/>
        </w:numPr>
      </w:pPr>
      <w:r>
        <w:t>čas</w:t>
      </w:r>
      <w:r w:rsidR="00CC5D7F">
        <w:t>u</w:t>
      </w:r>
      <w:r>
        <w:t xml:space="preserve"> jazdy a poloh</w:t>
      </w:r>
      <w:r w:rsidR="00CC5D7F">
        <w:t>y</w:t>
      </w:r>
      <w:r>
        <w:t xml:space="preserve"> vozidiel EETS pri užívaní vymedzených úsekov ciest,</w:t>
      </w:r>
    </w:p>
    <w:p w14:paraId="3CA40B24" w14:textId="6BD48CE6" w:rsidR="00885387" w:rsidRDefault="00885387" w:rsidP="00533FC1">
      <w:pPr>
        <w:pStyle w:val="ListParagraph"/>
        <w:numPr>
          <w:ilvl w:val="1"/>
          <w:numId w:val="23"/>
        </w:numPr>
      </w:pPr>
      <w:r>
        <w:t>vyruben</w:t>
      </w:r>
      <w:r w:rsidR="00CC5D7F">
        <w:t>ia</w:t>
      </w:r>
      <w:r>
        <w:t xml:space="preserve"> mýt</w:t>
      </w:r>
      <w:r w:rsidR="00CC5D7F">
        <w:t>a</w:t>
      </w:r>
      <w:r>
        <w:t xml:space="preserve"> za užívan</w:t>
      </w:r>
      <w:r w:rsidR="00315B1B">
        <w:t>ie</w:t>
      </w:r>
      <w:r>
        <w:t xml:space="preserve"> vymedzených úsekov ciest vozidlami EETS,</w:t>
      </w:r>
    </w:p>
    <w:p w14:paraId="09DDF5FF" w14:textId="73109D59" w:rsidR="00CC5D7F" w:rsidRDefault="00885387" w:rsidP="00533FC1">
      <w:pPr>
        <w:pStyle w:val="ListParagraph"/>
        <w:numPr>
          <w:ilvl w:val="1"/>
          <w:numId w:val="23"/>
        </w:numPr>
      </w:pPr>
      <w:r>
        <w:t>vyúčtovan</w:t>
      </w:r>
      <w:r w:rsidR="00CC5D7F">
        <w:t>ia</w:t>
      </w:r>
      <w:r>
        <w:t xml:space="preserve"> a úhrad</w:t>
      </w:r>
      <w:r w:rsidR="00CC5D7F">
        <w:t>y</w:t>
      </w:r>
      <w:r>
        <w:t xml:space="preserve"> súhrnného mýta </w:t>
      </w:r>
      <w:r w:rsidR="00CC5D7F">
        <w:t>poskytovateľmi EETS,</w:t>
      </w:r>
    </w:p>
    <w:p w14:paraId="1BB524CD" w14:textId="77777777" w:rsidR="00CC5D7F" w:rsidRDefault="00CC5D7F" w:rsidP="00533FC1">
      <w:pPr>
        <w:pStyle w:val="ListParagraph"/>
        <w:numPr>
          <w:ilvl w:val="1"/>
          <w:numId w:val="23"/>
        </w:numPr>
      </w:pPr>
      <w:r>
        <w:t>kontroly úhrady mýta vozidiel EETS,</w:t>
      </w:r>
    </w:p>
    <w:p w14:paraId="2F302A29" w14:textId="5A22FCEC" w:rsidR="002E6D37" w:rsidRDefault="00CC5D7F" w:rsidP="00533FC1">
      <w:pPr>
        <w:pStyle w:val="ListParagraph"/>
        <w:numPr>
          <w:ilvl w:val="1"/>
          <w:numId w:val="23"/>
        </w:numPr>
      </w:pPr>
      <w:r>
        <w:t>riešenia priestupkov a správnych deliktov podľa ZVM prevádzkovateľov vozidiel, ktorí uzatvorili zmluvu s poskytovateľom EETS</w:t>
      </w:r>
      <w:r w:rsidR="00885387">
        <w:t xml:space="preserve">. </w:t>
      </w:r>
      <w:r w:rsidR="002E6D37">
        <w:t xml:space="preserve"> </w:t>
      </w:r>
    </w:p>
    <w:p w14:paraId="0B4DC11B" w14:textId="77777777" w:rsidR="0006746B" w:rsidRDefault="0006746B" w:rsidP="00A40297"/>
    <w:p w14:paraId="64C5DBDF" w14:textId="26E07E3D" w:rsidR="00E3086F" w:rsidRDefault="00E3086F" w:rsidP="00CD5F2F">
      <w:pPr>
        <w:pStyle w:val="Heading2"/>
      </w:pPr>
      <w:bookmarkStart w:id="18" w:name="_Toc87348698"/>
      <w:r>
        <w:t>Motivácia</w:t>
      </w:r>
      <w:bookmarkEnd w:id="18"/>
    </w:p>
    <w:p w14:paraId="0D57B791" w14:textId="6F53018C" w:rsidR="00CB5E2B" w:rsidRDefault="00CB5E2B" w:rsidP="00CB5E2B">
      <w:r w:rsidRPr="00592616">
        <w:rPr>
          <w:b/>
        </w:rPr>
        <w:t>Správca výberu mýta</w:t>
      </w:r>
      <w:r>
        <w:t xml:space="preserve"> od projektu očakáva:</w:t>
      </w:r>
    </w:p>
    <w:p w14:paraId="5E6F3BE3" w14:textId="08226076" w:rsidR="00CB5E2B" w:rsidRDefault="00CB5E2B" w:rsidP="00480B97">
      <w:pPr>
        <w:pStyle w:val="ListParagraph"/>
        <w:numPr>
          <w:ilvl w:val="0"/>
          <w:numId w:val="30"/>
        </w:numPr>
      </w:pPr>
      <w:r>
        <w:t>vytvorenie technických a organizačných predpokladov pre naplnenie povinností Správcu výberu mýta podľa ZVM za účelom sprístupnenia EETS na území Slovenskej republiky,</w:t>
      </w:r>
    </w:p>
    <w:p w14:paraId="29DB5633" w14:textId="542E3449" w:rsidR="00CB5E2B" w:rsidRDefault="00CB5E2B" w:rsidP="00480B97">
      <w:pPr>
        <w:pStyle w:val="ListParagraph"/>
        <w:numPr>
          <w:ilvl w:val="0"/>
          <w:numId w:val="30"/>
        </w:numPr>
      </w:pPr>
      <w:r>
        <w:t xml:space="preserve">úsporu nákladov na palubné jednotky a zákaznícke služby zabezpečované spoločnosťou SkyToll, </w:t>
      </w:r>
      <w:r w:rsidR="00315B1B">
        <w:t xml:space="preserve">vyjadrenú </w:t>
      </w:r>
      <w:r>
        <w:t>znížením kvantitatívnych ukazovateľov plnenia Komplexnej služby elektronického výberu mýta (znížením počtu spracovaných mýtnych transakcií),</w:t>
      </w:r>
    </w:p>
    <w:p w14:paraId="53C0A184" w14:textId="77C75AB3" w:rsidR="00CB5E2B" w:rsidRDefault="00CB5E2B" w:rsidP="00480B97">
      <w:pPr>
        <w:pStyle w:val="ListParagraph"/>
        <w:numPr>
          <w:ilvl w:val="0"/>
          <w:numId w:val="30"/>
        </w:numPr>
      </w:pPr>
      <w:r>
        <w:t>úsporu nákladov na platobné operácie realizované palivovými a bankovými kartami</w:t>
      </w:r>
      <w:r w:rsidR="00527C34">
        <w:t>,</w:t>
      </w:r>
    </w:p>
    <w:p w14:paraId="35EF7AF7" w14:textId="249D7DC0" w:rsidR="000A5062" w:rsidRDefault="000A5062" w:rsidP="00480B97">
      <w:pPr>
        <w:pStyle w:val="ListParagraph"/>
        <w:numPr>
          <w:ilvl w:val="0"/>
          <w:numId w:val="30"/>
        </w:numPr>
      </w:pPr>
      <w:r>
        <w:t>zjednodušenie riešenia priestupkov a správnych deliktov prevádzkovateľov vozidiel registrovaných v zahraničí,</w:t>
      </w:r>
    </w:p>
    <w:p w14:paraId="2D25F805" w14:textId="2EB46A1A" w:rsidR="002062D5" w:rsidRDefault="002062D5" w:rsidP="00480B97">
      <w:pPr>
        <w:pStyle w:val="ListParagraph"/>
        <w:numPr>
          <w:ilvl w:val="0"/>
          <w:numId w:val="30"/>
        </w:numPr>
      </w:pPr>
      <w:r>
        <w:t>odstránenie nesúladu s platnou právnou úpravou,</w:t>
      </w:r>
    </w:p>
    <w:p w14:paraId="5A573D9D" w14:textId="51E41226" w:rsidR="008B5202" w:rsidRDefault="008B5202" w:rsidP="008B5202">
      <w:pPr>
        <w:pStyle w:val="ListParagraph"/>
        <w:numPr>
          <w:ilvl w:val="0"/>
          <w:numId w:val="30"/>
        </w:numPr>
      </w:pPr>
      <w:r>
        <w:t>zmiernenie rizík spojených s globálnym nedostatkom počítačových komponentov potrebných na výrobu palubných jednotiek v počte potrebnom na prevádzku nového mýtneho systému EMS,</w:t>
      </w:r>
    </w:p>
    <w:p w14:paraId="58E0FB1F" w14:textId="68FD6230" w:rsidR="002062D5" w:rsidRDefault="002062D5" w:rsidP="00480B97">
      <w:pPr>
        <w:pStyle w:val="ListParagraph"/>
        <w:numPr>
          <w:ilvl w:val="0"/>
          <w:numId w:val="30"/>
        </w:numPr>
      </w:pPr>
      <w:r>
        <w:t>elimináciu rizík spojených s odškodnením záujemcov o poskytovanie EETS a riešením súvisiacich právnych sporov</w:t>
      </w:r>
      <w:r w:rsidR="00440236">
        <w:t>;</w:t>
      </w:r>
    </w:p>
    <w:p w14:paraId="52BA0E02" w14:textId="5BACB2E9" w:rsidR="00527C34" w:rsidRDefault="00527C34" w:rsidP="00527C34">
      <w:r>
        <w:t xml:space="preserve">a vyššie uvedené očakávania </w:t>
      </w:r>
      <w:r w:rsidR="00B324B6">
        <w:t>Správc</w:t>
      </w:r>
      <w:r>
        <w:t>u výberu mýta motivujú k realizácii projektu.</w:t>
      </w:r>
    </w:p>
    <w:p w14:paraId="65769C04" w14:textId="4F8300C4" w:rsidR="00CB5E2B" w:rsidRDefault="00527C34" w:rsidP="00CB5E2B">
      <w:r w:rsidRPr="00592616">
        <w:rPr>
          <w:b/>
        </w:rPr>
        <w:t>Prevádzkovateľ vozidla</w:t>
      </w:r>
      <w:r>
        <w:t>:</w:t>
      </w:r>
    </w:p>
    <w:p w14:paraId="6FC13345" w14:textId="58A1ED23" w:rsidR="00527C34" w:rsidRDefault="00527C34" w:rsidP="00480B97">
      <w:pPr>
        <w:pStyle w:val="ListParagraph"/>
        <w:numPr>
          <w:ilvl w:val="0"/>
          <w:numId w:val="31"/>
        </w:numPr>
      </w:pPr>
      <w:r>
        <w:lastRenderedPageBreak/>
        <w:t>je motivovaný k využívaniu EETS s cieľom znížiť administratívne nároky v súvislosti s úhradou mýta v medzinárodnej preprave tovarov a osôb a zjednodušiť pohyb vozidiel medzi rôznymi mýtnymi doménami v členských štátoch EÚ.</w:t>
      </w:r>
    </w:p>
    <w:p w14:paraId="57132C02" w14:textId="7812EB99" w:rsidR="00527C34" w:rsidRDefault="00527C34" w:rsidP="00527C34">
      <w:r w:rsidRPr="00592616">
        <w:rPr>
          <w:b/>
        </w:rPr>
        <w:t>Poskytovateľ EETS</w:t>
      </w:r>
      <w:r>
        <w:t>:</w:t>
      </w:r>
    </w:p>
    <w:p w14:paraId="4474DC9A" w14:textId="6D15AA85" w:rsidR="002062D5" w:rsidRDefault="00527C34" w:rsidP="00480B97">
      <w:pPr>
        <w:pStyle w:val="ListParagraph"/>
        <w:numPr>
          <w:ilvl w:val="0"/>
          <w:numId w:val="31"/>
        </w:numPr>
      </w:pPr>
      <w:r>
        <w:t>je motivovaný k získaniu a udržaniu portfólia zákazníkov ponukou komplexných mýtnych služieb s pokrytím čo najväčšieho počtu mýtnych domén a</w:t>
      </w:r>
      <w:r w:rsidR="002062D5">
        <w:t> </w:t>
      </w:r>
      <w:r>
        <w:t>krajín</w:t>
      </w:r>
      <w:r w:rsidR="002062D5">
        <w:t>,</w:t>
      </w:r>
    </w:p>
    <w:p w14:paraId="12826EF0" w14:textId="6DB32B2A" w:rsidR="00527C34" w:rsidRDefault="002062D5" w:rsidP="00480B97">
      <w:pPr>
        <w:pStyle w:val="ListParagraph"/>
        <w:numPr>
          <w:ilvl w:val="0"/>
          <w:numId w:val="31"/>
        </w:numPr>
      </w:pPr>
      <w:r>
        <w:t>a je motivovaný nárokom na odmenu podľa Článku 7 Smernice</w:t>
      </w:r>
      <w:r w:rsidR="00527C34">
        <w:t>.</w:t>
      </w:r>
    </w:p>
    <w:p w14:paraId="00AFDD93" w14:textId="22D62204" w:rsidR="002062D5" w:rsidRDefault="002062D5" w:rsidP="002062D5">
      <w:r>
        <w:rPr>
          <w:b/>
        </w:rPr>
        <w:t>Ministerstvo dopravy a výstavby SR</w:t>
      </w:r>
      <w:r>
        <w:t>:</w:t>
      </w:r>
    </w:p>
    <w:p w14:paraId="1C774BAC" w14:textId="0B588EEE" w:rsidR="009C30DC" w:rsidRDefault="002062D5" w:rsidP="00480B97">
      <w:pPr>
        <w:pStyle w:val="ListParagraph"/>
        <w:numPr>
          <w:ilvl w:val="0"/>
          <w:numId w:val="31"/>
        </w:numPr>
      </w:pPr>
      <w:r>
        <w:t>je motivovan</w:t>
      </w:r>
      <w:r w:rsidR="000A5062">
        <w:t>é k zabezpečen</w:t>
      </w:r>
      <w:r w:rsidR="00EB5BA6">
        <w:t>iu</w:t>
      </w:r>
      <w:r w:rsidR="000A5062">
        <w:t xml:space="preserve"> súladu</w:t>
      </w:r>
      <w:r w:rsidR="000A5062" w:rsidRPr="000A5062">
        <w:t xml:space="preserve"> </w:t>
      </w:r>
      <w:r w:rsidR="000A5062">
        <w:t>reálnej praxe na úseku elektronického výberu mýta s</w:t>
      </w:r>
      <w:r w:rsidR="00EB5BA6">
        <w:t>o</w:t>
      </w:r>
      <w:r w:rsidR="000A5062">
        <w:t xml:space="preserve"> </w:t>
      </w:r>
      <w:r w:rsidR="000A5062" w:rsidRPr="000A5062">
        <w:t>záväzk</w:t>
      </w:r>
      <w:r w:rsidR="000A5062">
        <w:t>ami</w:t>
      </w:r>
      <w:r w:rsidR="000A5062" w:rsidRPr="000A5062">
        <w:t xml:space="preserve"> </w:t>
      </w:r>
      <w:r w:rsidR="000A5062">
        <w:t xml:space="preserve">Slovenskej republiky </w:t>
      </w:r>
      <w:r w:rsidR="000A5062" w:rsidRPr="000A5062">
        <w:t>vyplývajúc</w:t>
      </w:r>
      <w:r w:rsidR="000A5062">
        <w:t>imi</w:t>
      </w:r>
      <w:r w:rsidR="000A5062" w:rsidRPr="000A5062">
        <w:t xml:space="preserve"> zo Zmluvy o fungovaní Európskej únie</w:t>
      </w:r>
      <w:r w:rsidR="009C30DC">
        <w:t>,</w:t>
      </w:r>
    </w:p>
    <w:p w14:paraId="610D4744" w14:textId="18992923" w:rsidR="002062D5" w:rsidRDefault="000A5062" w:rsidP="00480B97">
      <w:pPr>
        <w:pStyle w:val="ListParagraph"/>
        <w:numPr>
          <w:ilvl w:val="0"/>
          <w:numId w:val="31"/>
        </w:numPr>
      </w:pPr>
      <w:r>
        <w:t>a </w:t>
      </w:r>
      <w:r w:rsidR="00EB5BA6">
        <w:t xml:space="preserve">je motivované k </w:t>
      </w:r>
      <w:r>
        <w:t>eliminácii hrozby</w:t>
      </w:r>
      <w:r w:rsidRPr="000A5062">
        <w:t xml:space="preserve"> začati</w:t>
      </w:r>
      <w:r>
        <w:t>a</w:t>
      </w:r>
      <w:r w:rsidRPr="000A5062">
        <w:t xml:space="preserve"> formálneho konania voči Slovenskej republike o porušení povinnosti vyplývajúcej z práva EÚ. </w:t>
      </w:r>
    </w:p>
    <w:p w14:paraId="55837D2E" w14:textId="04F2D4E1" w:rsidR="00592616" w:rsidRPr="00CB5E2B" w:rsidRDefault="00592616" w:rsidP="00592616"/>
    <w:p w14:paraId="44026F2E" w14:textId="0613525B" w:rsidR="00CD5F2F" w:rsidRDefault="00CD5F2F" w:rsidP="00CD5F2F">
      <w:pPr>
        <w:pStyle w:val="Heading2"/>
      </w:pPr>
      <w:bookmarkStart w:id="19" w:name="_Toc87348699"/>
      <w:r>
        <w:t>Použité skratky a</w:t>
      </w:r>
      <w:r w:rsidR="00064AA2">
        <w:t> </w:t>
      </w:r>
      <w:r>
        <w:t>značky</w:t>
      </w:r>
      <w:bookmarkEnd w:id="19"/>
    </w:p>
    <w:tbl>
      <w:tblPr>
        <w:tblStyle w:val="TableGrid"/>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7938"/>
      </w:tblGrid>
      <w:tr w:rsidR="00064AA2" w:rsidRPr="00B552CC" w14:paraId="24039437" w14:textId="77777777" w:rsidTr="009655F7">
        <w:trPr>
          <w:tblHeader/>
        </w:trPr>
        <w:tc>
          <w:tcPr>
            <w:tcW w:w="1413" w:type="dxa"/>
            <w:shd w:val="clear" w:color="auto" w:fill="BDD6EE" w:themeFill="accent1" w:themeFillTint="66"/>
          </w:tcPr>
          <w:p w14:paraId="039BFDCB" w14:textId="77777777" w:rsidR="00064AA2" w:rsidRPr="00B552CC" w:rsidRDefault="00064AA2" w:rsidP="005A7D49">
            <w:pPr>
              <w:spacing w:before="40" w:after="40" w:line="240" w:lineRule="auto"/>
              <w:rPr>
                <w:rFonts w:cs="Arial"/>
                <w:szCs w:val="20"/>
              </w:rPr>
            </w:pPr>
            <w:r w:rsidRPr="00B552CC">
              <w:rPr>
                <w:rFonts w:cs="Arial"/>
                <w:szCs w:val="20"/>
              </w:rPr>
              <w:t>Skratka</w:t>
            </w:r>
          </w:p>
        </w:tc>
        <w:tc>
          <w:tcPr>
            <w:tcW w:w="7938" w:type="dxa"/>
            <w:shd w:val="clear" w:color="auto" w:fill="BDD6EE" w:themeFill="accent1" w:themeFillTint="66"/>
          </w:tcPr>
          <w:p w14:paraId="12641197" w14:textId="77777777" w:rsidR="00064AA2" w:rsidRPr="00B552CC" w:rsidRDefault="00064AA2" w:rsidP="005A7D49">
            <w:pPr>
              <w:spacing w:before="40" w:after="40" w:line="240" w:lineRule="auto"/>
              <w:rPr>
                <w:rFonts w:cs="Arial"/>
                <w:szCs w:val="20"/>
              </w:rPr>
            </w:pPr>
            <w:r w:rsidRPr="00B552CC">
              <w:rPr>
                <w:rFonts w:cs="Arial"/>
                <w:szCs w:val="20"/>
              </w:rPr>
              <w:t>Význam</w:t>
            </w:r>
          </w:p>
        </w:tc>
      </w:tr>
      <w:tr w:rsidR="00064AA2" w:rsidRPr="00B552CC" w14:paraId="17525652" w14:textId="77777777" w:rsidTr="009655F7">
        <w:tc>
          <w:tcPr>
            <w:tcW w:w="1413" w:type="dxa"/>
          </w:tcPr>
          <w:p w14:paraId="19DAA340" w14:textId="091F898E" w:rsidR="00064AA2" w:rsidRPr="00B552CC" w:rsidRDefault="005E7C86" w:rsidP="005A7D49">
            <w:pPr>
              <w:spacing w:before="40" w:after="40" w:line="240" w:lineRule="auto"/>
              <w:rPr>
                <w:rFonts w:cs="Arial"/>
                <w:b/>
                <w:szCs w:val="20"/>
              </w:rPr>
            </w:pPr>
            <w:r w:rsidRPr="00B552CC">
              <w:rPr>
                <w:rFonts w:cs="Arial"/>
                <w:b/>
                <w:szCs w:val="20"/>
              </w:rPr>
              <w:t>B/C</w:t>
            </w:r>
          </w:p>
        </w:tc>
        <w:tc>
          <w:tcPr>
            <w:tcW w:w="7938" w:type="dxa"/>
          </w:tcPr>
          <w:p w14:paraId="73B58F96" w14:textId="05B5ADB4" w:rsidR="00064AA2" w:rsidRPr="00B552CC" w:rsidRDefault="005E7C86" w:rsidP="005A7D49">
            <w:pPr>
              <w:spacing w:before="40" w:after="40" w:line="240" w:lineRule="auto"/>
              <w:rPr>
                <w:rFonts w:cs="Arial"/>
                <w:szCs w:val="20"/>
              </w:rPr>
            </w:pPr>
            <w:r w:rsidRPr="00B552CC">
              <w:rPr>
                <w:rFonts w:cs="Arial"/>
                <w:szCs w:val="20"/>
              </w:rPr>
              <w:t>nákladová efektívnosť</w:t>
            </w:r>
          </w:p>
        </w:tc>
      </w:tr>
      <w:tr w:rsidR="001B5C2B" w:rsidRPr="00B552CC" w14:paraId="1DB32C30" w14:textId="77777777" w:rsidTr="009655F7">
        <w:tc>
          <w:tcPr>
            <w:tcW w:w="1413" w:type="dxa"/>
          </w:tcPr>
          <w:p w14:paraId="2F2906DE" w14:textId="275F7647" w:rsidR="001B5C2B" w:rsidRPr="00B552CC" w:rsidRDefault="001B5C2B" w:rsidP="005A7D49">
            <w:pPr>
              <w:spacing w:before="40" w:after="40" w:line="240" w:lineRule="auto"/>
              <w:rPr>
                <w:rFonts w:cs="Arial"/>
                <w:b/>
                <w:szCs w:val="20"/>
              </w:rPr>
            </w:pPr>
            <w:r>
              <w:rPr>
                <w:rFonts w:cs="Arial"/>
                <w:b/>
                <w:szCs w:val="20"/>
              </w:rPr>
              <w:t>BPO</w:t>
            </w:r>
          </w:p>
        </w:tc>
        <w:tc>
          <w:tcPr>
            <w:tcW w:w="7938" w:type="dxa"/>
          </w:tcPr>
          <w:p w14:paraId="53F94AB0" w14:textId="3C9745F8" w:rsidR="001B5C2B" w:rsidRPr="00B552CC" w:rsidRDefault="001B5C2B" w:rsidP="005A7D49">
            <w:pPr>
              <w:spacing w:before="40" w:after="40" w:line="240" w:lineRule="auto"/>
              <w:rPr>
                <w:rFonts w:cs="Arial"/>
                <w:szCs w:val="20"/>
              </w:rPr>
            </w:pPr>
            <w:r>
              <w:rPr>
                <w:rFonts w:cs="Arial"/>
                <w:szCs w:val="20"/>
              </w:rPr>
              <w:t>outsourcing biznis procesov (</w:t>
            </w:r>
            <w:r w:rsidRPr="00EF1CB7">
              <w:rPr>
                <w:rFonts w:cs="Arial"/>
                <w:i/>
                <w:szCs w:val="20"/>
              </w:rPr>
              <w:t>Business Process Outsourcing</w:t>
            </w:r>
            <w:r>
              <w:rPr>
                <w:rFonts w:cs="Arial"/>
                <w:szCs w:val="20"/>
              </w:rPr>
              <w:t>)</w:t>
            </w:r>
          </w:p>
        </w:tc>
      </w:tr>
      <w:tr w:rsidR="005E7C86" w:rsidRPr="00B552CC" w14:paraId="2794E4F9" w14:textId="77777777" w:rsidTr="009655F7">
        <w:tc>
          <w:tcPr>
            <w:tcW w:w="1413" w:type="dxa"/>
          </w:tcPr>
          <w:p w14:paraId="31AAD8E0" w14:textId="712DBAF5" w:rsidR="005E7C86" w:rsidRPr="00B552CC" w:rsidRDefault="005E7C86" w:rsidP="005A7D49">
            <w:pPr>
              <w:spacing w:before="40" w:after="40" w:line="240" w:lineRule="auto"/>
              <w:rPr>
                <w:rFonts w:cs="Arial"/>
                <w:b/>
                <w:szCs w:val="20"/>
              </w:rPr>
            </w:pPr>
            <w:r w:rsidRPr="00B552CC">
              <w:rPr>
                <w:rFonts w:cs="Arial"/>
                <w:b/>
                <w:szCs w:val="20"/>
              </w:rPr>
              <w:t>CBA</w:t>
            </w:r>
          </w:p>
        </w:tc>
        <w:tc>
          <w:tcPr>
            <w:tcW w:w="7938" w:type="dxa"/>
          </w:tcPr>
          <w:p w14:paraId="024EE431" w14:textId="026A4F21" w:rsidR="005E7C86" w:rsidRPr="00B552CC" w:rsidRDefault="005E7C86" w:rsidP="005A7D49">
            <w:pPr>
              <w:spacing w:before="40" w:after="40" w:line="240" w:lineRule="auto"/>
              <w:rPr>
                <w:rFonts w:cs="Arial"/>
                <w:szCs w:val="20"/>
              </w:rPr>
            </w:pPr>
            <w:r w:rsidRPr="00B552CC">
              <w:rPr>
                <w:rFonts w:cs="Arial"/>
                <w:szCs w:val="20"/>
              </w:rPr>
              <w:t>analýza nákladov a  prínosov (</w:t>
            </w:r>
            <w:r w:rsidRPr="00B552CC">
              <w:rPr>
                <w:rFonts w:cs="Arial"/>
                <w:i/>
                <w:szCs w:val="20"/>
              </w:rPr>
              <w:t>Cost-benefit Analysis</w:t>
            </w:r>
            <w:r w:rsidRPr="00B552CC">
              <w:rPr>
                <w:rFonts w:cs="Arial"/>
                <w:szCs w:val="20"/>
              </w:rPr>
              <w:t>)</w:t>
            </w:r>
          </w:p>
        </w:tc>
      </w:tr>
      <w:tr w:rsidR="005E7C86" w:rsidRPr="00B552CC" w14:paraId="5476D51F" w14:textId="77777777" w:rsidTr="009655F7">
        <w:tc>
          <w:tcPr>
            <w:tcW w:w="1413" w:type="dxa"/>
          </w:tcPr>
          <w:p w14:paraId="2C7B4704" w14:textId="17E3A2A6" w:rsidR="005E7C86" w:rsidRPr="00B552CC" w:rsidRDefault="005E7C86" w:rsidP="005A7D49">
            <w:pPr>
              <w:spacing w:before="40" w:after="40" w:line="240" w:lineRule="auto"/>
              <w:rPr>
                <w:rFonts w:cs="Arial"/>
                <w:b/>
                <w:szCs w:val="20"/>
              </w:rPr>
            </w:pPr>
            <w:r w:rsidRPr="00B552CC">
              <w:rPr>
                <w:rFonts w:cs="Arial"/>
                <w:b/>
                <w:szCs w:val="20"/>
              </w:rPr>
              <w:t>CCC</w:t>
            </w:r>
          </w:p>
        </w:tc>
        <w:tc>
          <w:tcPr>
            <w:tcW w:w="7938" w:type="dxa"/>
          </w:tcPr>
          <w:p w14:paraId="10602BA3" w14:textId="12E36E28" w:rsidR="005E7C86" w:rsidRPr="00B552CC" w:rsidRDefault="005E7C86" w:rsidP="005A7D49">
            <w:pPr>
              <w:spacing w:before="40" w:after="40" w:line="240" w:lineRule="auto"/>
              <w:rPr>
                <w:rFonts w:cs="Arial"/>
                <w:szCs w:val="20"/>
              </w:rPr>
            </w:pPr>
            <w:r w:rsidRPr="00B552CC">
              <w:rPr>
                <w:rFonts w:cs="Arial"/>
                <w:szCs w:val="20"/>
              </w:rPr>
              <w:t>komunikácia OBU/OBE cez mikrovlnné rozhranie DSRC krátkeho dosahu na účely kontroly správnej funkcie, nastavenia a použitia Palubnej jednotky (</w:t>
            </w:r>
            <w:r w:rsidRPr="00B552CC">
              <w:rPr>
                <w:rFonts w:cs="Arial"/>
                <w:i/>
                <w:szCs w:val="20"/>
              </w:rPr>
              <w:t>Compliance Check Communication</w:t>
            </w:r>
            <w:r w:rsidRPr="00B552CC">
              <w:rPr>
                <w:rFonts w:cs="Arial"/>
                <w:szCs w:val="20"/>
              </w:rPr>
              <w:t xml:space="preserve">) </w:t>
            </w:r>
          </w:p>
        </w:tc>
      </w:tr>
      <w:tr w:rsidR="005E7C86" w:rsidRPr="00B552CC" w14:paraId="49423E8A" w14:textId="77777777" w:rsidTr="009655F7">
        <w:tc>
          <w:tcPr>
            <w:tcW w:w="1413" w:type="dxa"/>
          </w:tcPr>
          <w:p w14:paraId="3BBADFE8" w14:textId="1171A27E" w:rsidR="005E7C86" w:rsidRPr="00B552CC" w:rsidRDefault="005E7C86" w:rsidP="005A7D49">
            <w:pPr>
              <w:spacing w:before="40" w:after="40" w:line="240" w:lineRule="auto"/>
              <w:rPr>
                <w:rFonts w:cs="Arial"/>
                <w:b/>
                <w:szCs w:val="20"/>
              </w:rPr>
            </w:pPr>
            <w:r w:rsidRPr="00B552CC">
              <w:rPr>
                <w:rFonts w:cs="Arial"/>
                <w:b/>
                <w:szCs w:val="20"/>
              </w:rPr>
              <w:t>DCF</w:t>
            </w:r>
          </w:p>
        </w:tc>
        <w:tc>
          <w:tcPr>
            <w:tcW w:w="7938" w:type="dxa"/>
          </w:tcPr>
          <w:p w14:paraId="0B2C9AFB" w14:textId="60BC1484" w:rsidR="005E7C86" w:rsidRPr="00B552CC" w:rsidRDefault="005E7C86" w:rsidP="005A7D49">
            <w:pPr>
              <w:spacing w:before="40" w:after="40" w:line="240" w:lineRule="auto"/>
              <w:rPr>
                <w:rFonts w:cs="Arial"/>
                <w:szCs w:val="20"/>
              </w:rPr>
            </w:pPr>
            <w:r w:rsidRPr="00B552CC">
              <w:rPr>
                <w:rFonts w:cs="Arial"/>
                <w:szCs w:val="20"/>
              </w:rPr>
              <w:t>diskontovaný peňažný tok (</w:t>
            </w:r>
            <w:r w:rsidRPr="00B552CC">
              <w:rPr>
                <w:rFonts w:cs="Arial"/>
                <w:i/>
                <w:szCs w:val="20"/>
              </w:rPr>
              <w:t>Discounted Cash Flow</w:t>
            </w:r>
            <w:r w:rsidRPr="00B552CC">
              <w:rPr>
                <w:rFonts w:cs="Arial"/>
                <w:szCs w:val="20"/>
              </w:rPr>
              <w:t>)</w:t>
            </w:r>
          </w:p>
        </w:tc>
      </w:tr>
      <w:tr w:rsidR="005E7C86" w:rsidRPr="00B552CC" w14:paraId="454D4C27" w14:textId="77777777" w:rsidTr="009655F7">
        <w:tc>
          <w:tcPr>
            <w:tcW w:w="1413" w:type="dxa"/>
          </w:tcPr>
          <w:p w14:paraId="679DEA3E" w14:textId="77777777" w:rsidR="005E7C86" w:rsidRPr="00B552CC" w:rsidRDefault="005E7C86" w:rsidP="005A7D49">
            <w:pPr>
              <w:spacing w:before="40" w:after="40" w:line="240" w:lineRule="auto"/>
              <w:rPr>
                <w:rFonts w:cs="Arial"/>
                <w:b/>
                <w:szCs w:val="20"/>
              </w:rPr>
            </w:pPr>
            <w:r w:rsidRPr="00B552CC">
              <w:rPr>
                <w:rFonts w:cs="Arial"/>
                <w:b/>
                <w:szCs w:val="20"/>
              </w:rPr>
              <w:t>DPH</w:t>
            </w:r>
          </w:p>
        </w:tc>
        <w:tc>
          <w:tcPr>
            <w:tcW w:w="7938" w:type="dxa"/>
          </w:tcPr>
          <w:p w14:paraId="30303AD2" w14:textId="77777777" w:rsidR="005E7C86" w:rsidRPr="00B552CC" w:rsidRDefault="005E7C86" w:rsidP="005A7D49">
            <w:pPr>
              <w:spacing w:before="40" w:after="40" w:line="240" w:lineRule="auto"/>
              <w:rPr>
                <w:rFonts w:cs="Arial"/>
                <w:szCs w:val="20"/>
              </w:rPr>
            </w:pPr>
            <w:r w:rsidRPr="00B552CC">
              <w:rPr>
                <w:rFonts w:cs="Arial"/>
                <w:szCs w:val="20"/>
              </w:rPr>
              <w:t>daň z pridanej hodnoty</w:t>
            </w:r>
          </w:p>
        </w:tc>
      </w:tr>
      <w:tr w:rsidR="005E7C86" w:rsidRPr="00B552CC" w14:paraId="48F16E0B" w14:textId="77777777" w:rsidTr="009655F7">
        <w:tc>
          <w:tcPr>
            <w:tcW w:w="1413" w:type="dxa"/>
          </w:tcPr>
          <w:p w14:paraId="3B5F1E90" w14:textId="77777777" w:rsidR="005E7C86" w:rsidRPr="00B552CC" w:rsidRDefault="005E7C86" w:rsidP="005A7D49">
            <w:pPr>
              <w:spacing w:before="40" w:after="40" w:line="240" w:lineRule="auto"/>
              <w:rPr>
                <w:rFonts w:cs="Arial"/>
                <w:b/>
                <w:szCs w:val="20"/>
              </w:rPr>
            </w:pPr>
            <w:r w:rsidRPr="00B552CC">
              <w:rPr>
                <w:rFonts w:cs="Arial"/>
                <w:b/>
                <w:szCs w:val="20"/>
              </w:rPr>
              <w:t>DSRC</w:t>
            </w:r>
          </w:p>
        </w:tc>
        <w:tc>
          <w:tcPr>
            <w:tcW w:w="7938" w:type="dxa"/>
          </w:tcPr>
          <w:p w14:paraId="4B24417E" w14:textId="77777777" w:rsidR="005E7C86" w:rsidRPr="00B552CC" w:rsidRDefault="005E7C86" w:rsidP="005A7D49">
            <w:pPr>
              <w:spacing w:before="40" w:after="40" w:line="240" w:lineRule="auto"/>
              <w:rPr>
                <w:rFonts w:cs="Arial"/>
                <w:szCs w:val="20"/>
              </w:rPr>
            </w:pPr>
            <w:r w:rsidRPr="00B552CC">
              <w:rPr>
                <w:rFonts w:cs="Arial"/>
                <w:szCs w:val="20"/>
              </w:rPr>
              <w:t>vyhradená komunikácia krátkeho dosahu (</w:t>
            </w:r>
            <w:r w:rsidRPr="00B552CC">
              <w:rPr>
                <w:rFonts w:cs="Arial"/>
                <w:i/>
                <w:szCs w:val="20"/>
              </w:rPr>
              <w:t>Dedicated Short Range Communication</w:t>
            </w:r>
            <w:r w:rsidRPr="00B552CC">
              <w:rPr>
                <w:rFonts w:cs="Arial"/>
                <w:szCs w:val="20"/>
              </w:rPr>
              <w:t>), pre dopravnú telematiku je vyhradená frekvencia 5,8 GHz.</w:t>
            </w:r>
          </w:p>
        </w:tc>
      </w:tr>
      <w:tr w:rsidR="005E7C86" w:rsidRPr="00B552CC" w14:paraId="3176EE55" w14:textId="77777777" w:rsidTr="009655F7">
        <w:tc>
          <w:tcPr>
            <w:tcW w:w="1413" w:type="dxa"/>
          </w:tcPr>
          <w:p w14:paraId="306B78DD" w14:textId="2BDBB5AC" w:rsidR="005E7C86" w:rsidRPr="00B552CC" w:rsidRDefault="005E7C86" w:rsidP="005A7D49">
            <w:pPr>
              <w:spacing w:before="40" w:after="40" w:line="240" w:lineRule="auto"/>
              <w:rPr>
                <w:rFonts w:cs="Arial"/>
                <w:b/>
                <w:szCs w:val="20"/>
              </w:rPr>
            </w:pPr>
            <w:r w:rsidRPr="00B552CC">
              <w:rPr>
                <w:rFonts w:cs="Arial"/>
                <w:b/>
                <w:szCs w:val="20"/>
              </w:rPr>
              <w:t>EETS</w:t>
            </w:r>
          </w:p>
        </w:tc>
        <w:tc>
          <w:tcPr>
            <w:tcW w:w="7938" w:type="dxa"/>
          </w:tcPr>
          <w:p w14:paraId="26088F87" w14:textId="4956D833" w:rsidR="005E7C86" w:rsidRPr="00B552CC" w:rsidRDefault="005E7C86" w:rsidP="005A7D49">
            <w:pPr>
              <w:spacing w:before="40" w:after="40" w:line="240" w:lineRule="auto"/>
              <w:rPr>
                <w:rFonts w:cs="Arial"/>
                <w:szCs w:val="20"/>
              </w:rPr>
            </w:pPr>
            <w:r w:rsidRPr="00B552CC">
              <w:rPr>
                <w:rFonts w:cs="Arial"/>
                <w:szCs w:val="20"/>
              </w:rPr>
              <w:t>európska služba elektronického mýta (</w:t>
            </w:r>
            <w:r w:rsidRPr="00B552CC">
              <w:rPr>
                <w:rFonts w:cs="Arial"/>
                <w:i/>
                <w:szCs w:val="20"/>
              </w:rPr>
              <w:t>European Electronic Toll Service</w:t>
            </w:r>
            <w:r w:rsidRPr="00B552CC">
              <w:rPr>
                <w:rFonts w:cs="Arial"/>
                <w:szCs w:val="20"/>
              </w:rPr>
              <w:t>)</w:t>
            </w:r>
          </w:p>
        </w:tc>
      </w:tr>
      <w:tr w:rsidR="005E7C86" w:rsidRPr="00B552CC" w14:paraId="247D47EE" w14:textId="77777777" w:rsidTr="009655F7">
        <w:tc>
          <w:tcPr>
            <w:tcW w:w="1413" w:type="dxa"/>
          </w:tcPr>
          <w:p w14:paraId="44AC24DC" w14:textId="54DA7B81" w:rsidR="005E7C86" w:rsidRPr="00B552CC" w:rsidRDefault="005E7C86" w:rsidP="005A7D49">
            <w:pPr>
              <w:spacing w:before="40" w:after="40" w:line="240" w:lineRule="auto"/>
              <w:rPr>
                <w:rFonts w:cs="Arial"/>
                <w:b/>
                <w:szCs w:val="20"/>
              </w:rPr>
            </w:pPr>
            <w:r w:rsidRPr="00B552CC">
              <w:rPr>
                <w:rFonts w:cs="Arial"/>
                <w:b/>
                <w:szCs w:val="20"/>
              </w:rPr>
              <w:t>EIRR</w:t>
            </w:r>
          </w:p>
        </w:tc>
        <w:tc>
          <w:tcPr>
            <w:tcW w:w="7938" w:type="dxa"/>
          </w:tcPr>
          <w:p w14:paraId="1B0EDE92" w14:textId="43E94E7F" w:rsidR="005E7C86" w:rsidRPr="00B552CC" w:rsidRDefault="005E7C86" w:rsidP="005A7D49">
            <w:pPr>
              <w:spacing w:before="40" w:after="40" w:line="240" w:lineRule="auto"/>
              <w:rPr>
                <w:rFonts w:cs="Arial"/>
                <w:szCs w:val="20"/>
              </w:rPr>
            </w:pPr>
            <w:r w:rsidRPr="00B552CC">
              <w:rPr>
                <w:rFonts w:cs="Arial"/>
                <w:szCs w:val="20"/>
              </w:rPr>
              <w:t xml:space="preserve">ekonomická vnútorná miera návratnosti </w:t>
            </w:r>
          </w:p>
        </w:tc>
      </w:tr>
      <w:tr w:rsidR="005E7C86" w:rsidRPr="00B552CC" w14:paraId="59F5A1D0" w14:textId="77777777" w:rsidTr="009655F7">
        <w:tc>
          <w:tcPr>
            <w:tcW w:w="1413" w:type="dxa"/>
          </w:tcPr>
          <w:p w14:paraId="6A95AC9B" w14:textId="77777777" w:rsidR="005E7C86" w:rsidRPr="00B552CC" w:rsidRDefault="005E7C86" w:rsidP="005A7D49">
            <w:pPr>
              <w:spacing w:before="40" w:after="40" w:line="240" w:lineRule="auto"/>
              <w:rPr>
                <w:rFonts w:cs="Arial"/>
                <w:b/>
                <w:szCs w:val="20"/>
              </w:rPr>
            </w:pPr>
            <w:r w:rsidRPr="00B552CC">
              <w:rPr>
                <w:rFonts w:cs="Arial"/>
                <w:b/>
                <w:szCs w:val="20"/>
              </w:rPr>
              <w:t>EMS</w:t>
            </w:r>
          </w:p>
        </w:tc>
        <w:tc>
          <w:tcPr>
            <w:tcW w:w="7938" w:type="dxa"/>
          </w:tcPr>
          <w:p w14:paraId="0B0BACEC" w14:textId="574D13AC" w:rsidR="005E7C86" w:rsidRPr="00B552CC" w:rsidRDefault="005E7C86" w:rsidP="005A7D49">
            <w:pPr>
              <w:spacing w:before="40" w:after="40" w:line="240" w:lineRule="auto"/>
              <w:rPr>
                <w:rFonts w:cs="Arial"/>
                <w:szCs w:val="20"/>
              </w:rPr>
            </w:pPr>
            <w:r w:rsidRPr="00B552CC">
              <w:rPr>
                <w:rFonts w:cs="Arial"/>
                <w:szCs w:val="20"/>
              </w:rPr>
              <w:t>elektronický mýtny systém</w:t>
            </w:r>
          </w:p>
        </w:tc>
      </w:tr>
      <w:tr w:rsidR="005E7C86" w:rsidRPr="00B552CC" w14:paraId="747BB0B5" w14:textId="77777777" w:rsidTr="009655F7">
        <w:tc>
          <w:tcPr>
            <w:tcW w:w="1413" w:type="dxa"/>
          </w:tcPr>
          <w:p w14:paraId="428B9376" w14:textId="06A961E3" w:rsidR="005E7C86" w:rsidRPr="00B552CC" w:rsidRDefault="005E7C86" w:rsidP="005A7D49">
            <w:pPr>
              <w:spacing w:before="40" w:after="40" w:line="240" w:lineRule="auto"/>
              <w:rPr>
                <w:rFonts w:cs="Arial"/>
                <w:b/>
                <w:szCs w:val="20"/>
              </w:rPr>
            </w:pPr>
            <w:r w:rsidRPr="00B552CC">
              <w:rPr>
                <w:rFonts w:cs="Arial"/>
                <w:b/>
                <w:szCs w:val="20"/>
              </w:rPr>
              <w:t>ENPV</w:t>
            </w:r>
          </w:p>
        </w:tc>
        <w:tc>
          <w:tcPr>
            <w:tcW w:w="7938" w:type="dxa"/>
          </w:tcPr>
          <w:p w14:paraId="7FA4E896" w14:textId="35B2C44D" w:rsidR="005E7C86" w:rsidRPr="00B552CC" w:rsidRDefault="005E7C86" w:rsidP="005A7D49">
            <w:pPr>
              <w:spacing w:before="40" w:after="40" w:line="240" w:lineRule="auto"/>
              <w:rPr>
                <w:rFonts w:cs="Arial"/>
                <w:szCs w:val="20"/>
              </w:rPr>
            </w:pPr>
            <w:r w:rsidRPr="00B552CC">
              <w:rPr>
                <w:rFonts w:cs="Arial"/>
                <w:szCs w:val="20"/>
              </w:rPr>
              <w:t>ekonomická čistá súčasná hodnota investície</w:t>
            </w:r>
          </w:p>
        </w:tc>
      </w:tr>
      <w:tr w:rsidR="00152C30" w:rsidRPr="00B552CC" w14:paraId="5720829D" w14:textId="77777777" w:rsidTr="009655F7">
        <w:tc>
          <w:tcPr>
            <w:tcW w:w="1413" w:type="dxa"/>
          </w:tcPr>
          <w:p w14:paraId="66B10878" w14:textId="1B522D1F" w:rsidR="00152C30" w:rsidRPr="00B552CC" w:rsidRDefault="000D4BB5" w:rsidP="005A7D49">
            <w:pPr>
              <w:spacing w:before="40" w:after="40" w:line="240" w:lineRule="auto"/>
              <w:rPr>
                <w:rFonts w:cs="Arial"/>
                <w:b/>
                <w:szCs w:val="20"/>
              </w:rPr>
            </w:pPr>
            <w:r w:rsidRPr="00B552CC">
              <w:rPr>
                <w:rFonts w:cs="Arial"/>
                <w:b/>
                <w:szCs w:val="20"/>
              </w:rPr>
              <w:t>ETB-C</w:t>
            </w:r>
          </w:p>
        </w:tc>
        <w:tc>
          <w:tcPr>
            <w:tcW w:w="7938" w:type="dxa"/>
          </w:tcPr>
          <w:p w14:paraId="309ECCB8" w14:textId="7793FAC7" w:rsidR="00152C30" w:rsidRPr="00B552CC" w:rsidRDefault="000D4BB5" w:rsidP="00C81C52">
            <w:pPr>
              <w:spacing w:before="40" w:after="40" w:line="240" w:lineRule="auto"/>
              <w:rPr>
                <w:rFonts w:cs="Arial"/>
                <w:szCs w:val="20"/>
              </w:rPr>
            </w:pPr>
            <w:r w:rsidRPr="00B552CC">
              <w:rPr>
                <w:rFonts w:cs="Arial"/>
                <w:szCs w:val="20"/>
              </w:rPr>
              <w:t>aplikačný modul (subsystém) elektronického mýtneho systému pre spracovanie a mediáciu mýtnych udalostí</w:t>
            </w:r>
          </w:p>
        </w:tc>
      </w:tr>
      <w:tr w:rsidR="00152C30" w:rsidRPr="00B552CC" w14:paraId="5AA513EB" w14:textId="77777777" w:rsidTr="009655F7">
        <w:tc>
          <w:tcPr>
            <w:tcW w:w="1413" w:type="dxa"/>
          </w:tcPr>
          <w:p w14:paraId="0BF26EE3" w14:textId="63730D1E" w:rsidR="00152C30" w:rsidRPr="00B552CC" w:rsidRDefault="00152C30" w:rsidP="005A7D49">
            <w:pPr>
              <w:spacing w:before="40" w:after="40" w:line="240" w:lineRule="auto"/>
              <w:rPr>
                <w:rFonts w:cs="Arial"/>
                <w:b/>
                <w:szCs w:val="20"/>
              </w:rPr>
            </w:pPr>
            <w:r w:rsidRPr="00B552CC">
              <w:rPr>
                <w:rFonts w:cs="Arial"/>
                <w:b/>
                <w:szCs w:val="20"/>
              </w:rPr>
              <w:t>ETB-P</w:t>
            </w:r>
          </w:p>
        </w:tc>
        <w:tc>
          <w:tcPr>
            <w:tcW w:w="7938" w:type="dxa"/>
          </w:tcPr>
          <w:p w14:paraId="6E94B9B4" w14:textId="11E211C5" w:rsidR="00152C30" w:rsidRPr="00B552CC" w:rsidRDefault="00152C30" w:rsidP="00C81C52">
            <w:pPr>
              <w:spacing w:before="40" w:after="40" w:line="240" w:lineRule="auto"/>
              <w:rPr>
                <w:rFonts w:cs="Arial"/>
                <w:szCs w:val="20"/>
              </w:rPr>
            </w:pPr>
            <w:r w:rsidRPr="00B552CC">
              <w:rPr>
                <w:rFonts w:cs="Arial"/>
                <w:szCs w:val="20"/>
              </w:rPr>
              <w:t xml:space="preserve">aplikačný modul (subsystém) elektronického mýtneho systému pre komunikáciu </w:t>
            </w:r>
            <w:r w:rsidR="000D4BB5" w:rsidRPr="00B552CC">
              <w:rPr>
                <w:rFonts w:cs="Arial"/>
                <w:szCs w:val="20"/>
              </w:rPr>
              <w:t>s </w:t>
            </w:r>
            <w:r w:rsidRPr="00B552CC">
              <w:rPr>
                <w:rFonts w:cs="Arial"/>
                <w:szCs w:val="20"/>
              </w:rPr>
              <w:t>OBU</w:t>
            </w:r>
          </w:p>
        </w:tc>
      </w:tr>
      <w:tr w:rsidR="005E7C86" w:rsidRPr="00B552CC" w14:paraId="5145BCED" w14:textId="77777777" w:rsidTr="009655F7">
        <w:tc>
          <w:tcPr>
            <w:tcW w:w="1413" w:type="dxa"/>
          </w:tcPr>
          <w:p w14:paraId="659D14BF" w14:textId="77777777" w:rsidR="005E7C86" w:rsidRPr="00B552CC" w:rsidRDefault="005E7C86" w:rsidP="005A7D49">
            <w:pPr>
              <w:spacing w:before="40" w:after="40" w:line="240" w:lineRule="auto"/>
              <w:rPr>
                <w:rFonts w:cs="Arial"/>
                <w:b/>
                <w:szCs w:val="20"/>
              </w:rPr>
            </w:pPr>
            <w:r w:rsidRPr="00B552CC">
              <w:rPr>
                <w:rFonts w:cs="Arial"/>
                <w:b/>
                <w:szCs w:val="20"/>
              </w:rPr>
              <w:t>ETC</w:t>
            </w:r>
          </w:p>
        </w:tc>
        <w:tc>
          <w:tcPr>
            <w:tcW w:w="7938" w:type="dxa"/>
          </w:tcPr>
          <w:p w14:paraId="5631D859" w14:textId="0C039092" w:rsidR="005E7C86" w:rsidRPr="00B552CC" w:rsidRDefault="005E7C86" w:rsidP="005A7D49">
            <w:pPr>
              <w:spacing w:before="40" w:after="40" w:line="240" w:lineRule="auto"/>
              <w:rPr>
                <w:rFonts w:cs="Arial"/>
                <w:szCs w:val="20"/>
              </w:rPr>
            </w:pPr>
            <w:r w:rsidRPr="00B552CC">
              <w:rPr>
                <w:rFonts w:cs="Arial"/>
                <w:szCs w:val="20"/>
              </w:rPr>
              <w:t>elektronický výber mýta (</w:t>
            </w:r>
            <w:r w:rsidRPr="00B552CC">
              <w:rPr>
                <w:rFonts w:cs="Arial"/>
                <w:i/>
                <w:szCs w:val="20"/>
              </w:rPr>
              <w:t>Electronic Toll Collection</w:t>
            </w:r>
            <w:r w:rsidRPr="00B552CC">
              <w:rPr>
                <w:rFonts w:cs="Arial"/>
                <w:szCs w:val="20"/>
              </w:rPr>
              <w:t>)</w:t>
            </w:r>
          </w:p>
        </w:tc>
      </w:tr>
      <w:tr w:rsidR="005E7C86" w:rsidRPr="00B552CC" w14:paraId="15C2ACC7" w14:textId="77777777" w:rsidTr="009655F7">
        <w:tc>
          <w:tcPr>
            <w:tcW w:w="1413" w:type="dxa"/>
          </w:tcPr>
          <w:p w14:paraId="7B6DADD4" w14:textId="55226348" w:rsidR="005E7C86" w:rsidRPr="00B552CC" w:rsidRDefault="005E7C86" w:rsidP="005A7D49">
            <w:pPr>
              <w:spacing w:before="40" w:after="40" w:line="240" w:lineRule="auto"/>
              <w:rPr>
                <w:rFonts w:cs="Arial"/>
                <w:b/>
                <w:szCs w:val="20"/>
              </w:rPr>
            </w:pPr>
            <w:r w:rsidRPr="00B552CC">
              <w:rPr>
                <w:rFonts w:cs="Arial"/>
                <w:b/>
                <w:szCs w:val="20"/>
              </w:rPr>
              <w:t>EÚ</w:t>
            </w:r>
          </w:p>
        </w:tc>
        <w:tc>
          <w:tcPr>
            <w:tcW w:w="7938" w:type="dxa"/>
          </w:tcPr>
          <w:p w14:paraId="39B2A723" w14:textId="77777777" w:rsidR="005E7C86" w:rsidRPr="00B552CC" w:rsidRDefault="005E7C86" w:rsidP="005A7D49">
            <w:pPr>
              <w:spacing w:before="40" w:after="40" w:line="240" w:lineRule="auto"/>
              <w:rPr>
                <w:rFonts w:cs="Arial"/>
                <w:szCs w:val="20"/>
              </w:rPr>
            </w:pPr>
            <w:r w:rsidRPr="00B552CC">
              <w:rPr>
                <w:rFonts w:cs="Arial"/>
                <w:szCs w:val="20"/>
              </w:rPr>
              <w:t>Európska únia (</w:t>
            </w:r>
            <w:r w:rsidRPr="00B552CC">
              <w:rPr>
                <w:rFonts w:cs="Arial"/>
                <w:i/>
                <w:szCs w:val="20"/>
              </w:rPr>
              <w:t>European Union</w:t>
            </w:r>
            <w:r w:rsidRPr="00B552CC">
              <w:rPr>
                <w:rFonts w:cs="Arial"/>
                <w:szCs w:val="20"/>
              </w:rPr>
              <w:t>)</w:t>
            </w:r>
          </w:p>
        </w:tc>
      </w:tr>
      <w:tr w:rsidR="005E7C86" w:rsidRPr="00B552CC" w14:paraId="0E0953DA" w14:textId="77777777" w:rsidTr="009655F7">
        <w:tc>
          <w:tcPr>
            <w:tcW w:w="1413" w:type="dxa"/>
          </w:tcPr>
          <w:p w14:paraId="521B5428" w14:textId="43A7D230" w:rsidR="005E7C86" w:rsidRPr="00B552CC" w:rsidRDefault="005E7C86" w:rsidP="005A7D49">
            <w:pPr>
              <w:spacing w:before="40" w:after="40" w:line="240" w:lineRule="auto"/>
              <w:rPr>
                <w:rFonts w:cs="Arial"/>
                <w:b/>
                <w:szCs w:val="20"/>
              </w:rPr>
            </w:pPr>
            <w:r w:rsidRPr="00B552CC">
              <w:rPr>
                <w:rFonts w:cs="Arial"/>
                <w:b/>
                <w:szCs w:val="20"/>
              </w:rPr>
              <w:t>FDR</w:t>
            </w:r>
          </w:p>
        </w:tc>
        <w:tc>
          <w:tcPr>
            <w:tcW w:w="7938" w:type="dxa"/>
          </w:tcPr>
          <w:p w14:paraId="7D78600A" w14:textId="0CF46299" w:rsidR="005E7C86" w:rsidRPr="00B552CC" w:rsidRDefault="005E7C86" w:rsidP="005A7D49">
            <w:pPr>
              <w:spacing w:before="40" w:after="40" w:line="240" w:lineRule="auto"/>
              <w:rPr>
                <w:rFonts w:cs="Arial"/>
                <w:szCs w:val="20"/>
              </w:rPr>
            </w:pPr>
            <w:r w:rsidRPr="00B552CC">
              <w:rPr>
                <w:rFonts w:cs="Arial"/>
                <w:szCs w:val="20"/>
              </w:rPr>
              <w:t>finančná diskontná sadzba (</w:t>
            </w:r>
            <w:r w:rsidRPr="00B552CC">
              <w:rPr>
                <w:rFonts w:cs="Arial"/>
                <w:i/>
                <w:szCs w:val="20"/>
              </w:rPr>
              <w:t>Financial Discount Rate</w:t>
            </w:r>
            <w:r w:rsidRPr="00B552CC">
              <w:rPr>
                <w:rFonts w:cs="Arial"/>
                <w:szCs w:val="20"/>
              </w:rPr>
              <w:t>)</w:t>
            </w:r>
          </w:p>
        </w:tc>
      </w:tr>
      <w:tr w:rsidR="005E7C86" w:rsidRPr="00B552CC" w14:paraId="1C3DB110" w14:textId="77777777" w:rsidTr="009655F7">
        <w:tc>
          <w:tcPr>
            <w:tcW w:w="1413" w:type="dxa"/>
          </w:tcPr>
          <w:p w14:paraId="0A1A3DDE" w14:textId="466EA33D" w:rsidR="005E7C86" w:rsidRPr="00B552CC" w:rsidRDefault="005E7C86" w:rsidP="005A7D49">
            <w:pPr>
              <w:spacing w:before="40" w:after="40" w:line="240" w:lineRule="auto"/>
              <w:rPr>
                <w:rFonts w:cs="Arial"/>
                <w:b/>
                <w:szCs w:val="20"/>
              </w:rPr>
            </w:pPr>
            <w:r w:rsidRPr="00B552CC">
              <w:rPr>
                <w:rFonts w:cs="Arial"/>
                <w:b/>
                <w:szCs w:val="20"/>
              </w:rPr>
              <w:t>FIRR_C</w:t>
            </w:r>
          </w:p>
        </w:tc>
        <w:tc>
          <w:tcPr>
            <w:tcW w:w="7938" w:type="dxa"/>
          </w:tcPr>
          <w:p w14:paraId="2BC413F0" w14:textId="789A7A0A" w:rsidR="005E7C86" w:rsidRPr="00B552CC" w:rsidRDefault="005E7C86" w:rsidP="005A7D49">
            <w:pPr>
              <w:spacing w:before="40" w:after="40" w:line="240" w:lineRule="auto"/>
              <w:rPr>
                <w:rFonts w:cs="Arial"/>
                <w:szCs w:val="20"/>
              </w:rPr>
            </w:pPr>
            <w:r w:rsidRPr="00B552CC">
              <w:rPr>
                <w:rFonts w:cs="Arial"/>
                <w:szCs w:val="20"/>
              </w:rPr>
              <w:t xml:space="preserve">finančné vnútorné výnosové percento investície  </w:t>
            </w:r>
          </w:p>
        </w:tc>
      </w:tr>
      <w:tr w:rsidR="005E7C86" w:rsidRPr="00B552CC" w14:paraId="538DE36A" w14:textId="77777777" w:rsidTr="009655F7">
        <w:tc>
          <w:tcPr>
            <w:tcW w:w="1413" w:type="dxa"/>
          </w:tcPr>
          <w:p w14:paraId="27C89F01" w14:textId="474ACDF4" w:rsidR="005E7C86" w:rsidRPr="00B552CC" w:rsidRDefault="005E7C86" w:rsidP="005A7D49">
            <w:pPr>
              <w:spacing w:before="40" w:after="40" w:line="240" w:lineRule="auto"/>
              <w:rPr>
                <w:rFonts w:cs="Arial"/>
                <w:b/>
                <w:szCs w:val="20"/>
              </w:rPr>
            </w:pPr>
            <w:r w:rsidRPr="00B552CC">
              <w:rPr>
                <w:rFonts w:cs="Arial"/>
                <w:b/>
                <w:szCs w:val="20"/>
              </w:rPr>
              <w:t>FIRR_K</w:t>
            </w:r>
          </w:p>
        </w:tc>
        <w:tc>
          <w:tcPr>
            <w:tcW w:w="7938" w:type="dxa"/>
          </w:tcPr>
          <w:p w14:paraId="5688A77A" w14:textId="41955E88" w:rsidR="005E7C86" w:rsidRPr="00B552CC" w:rsidRDefault="005E7C86" w:rsidP="005A7D49">
            <w:pPr>
              <w:spacing w:before="40" w:after="40" w:line="240" w:lineRule="auto"/>
              <w:rPr>
                <w:rFonts w:cs="Arial"/>
                <w:szCs w:val="20"/>
              </w:rPr>
            </w:pPr>
            <w:r w:rsidRPr="00B552CC">
              <w:rPr>
                <w:rFonts w:cs="Arial"/>
                <w:szCs w:val="20"/>
              </w:rPr>
              <w:t xml:space="preserve">finančné vnútorné výnosové percento kapitálu  </w:t>
            </w:r>
          </w:p>
        </w:tc>
      </w:tr>
      <w:tr w:rsidR="005E7C86" w:rsidRPr="00B552CC" w14:paraId="2A0C178E" w14:textId="77777777" w:rsidTr="009655F7">
        <w:tc>
          <w:tcPr>
            <w:tcW w:w="1413" w:type="dxa"/>
          </w:tcPr>
          <w:p w14:paraId="65B6D2EC" w14:textId="642B9950" w:rsidR="005E7C86" w:rsidRPr="00B552CC" w:rsidRDefault="005E7C86" w:rsidP="005A7D49">
            <w:pPr>
              <w:spacing w:before="40" w:after="40" w:line="240" w:lineRule="auto"/>
              <w:rPr>
                <w:rFonts w:cs="Arial"/>
                <w:b/>
                <w:szCs w:val="20"/>
              </w:rPr>
            </w:pPr>
            <w:r w:rsidRPr="00B552CC">
              <w:rPr>
                <w:rFonts w:cs="Arial"/>
                <w:b/>
                <w:szCs w:val="20"/>
              </w:rPr>
              <w:t>FNPV_C</w:t>
            </w:r>
          </w:p>
        </w:tc>
        <w:tc>
          <w:tcPr>
            <w:tcW w:w="7938" w:type="dxa"/>
          </w:tcPr>
          <w:p w14:paraId="31C69342" w14:textId="7053688C" w:rsidR="005E7C86" w:rsidRPr="00B552CC" w:rsidRDefault="005E7C86" w:rsidP="005A7D49">
            <w:pPr>
              <w:spacing w:before="40" w:after="40" w:line="240" w:lineRule="auto"/>
              <w:rPr>
                <w:rFonts w:cs="Arial"/>
                <w:szCs w:val="20"/>
              </w:rPr>
            </w:pPr>
            <w:r w:rsidRPr="00B552CC">
              <w:rPr>
                <w:rFonts w:cs="Arial"/>
                <w:szCs w:val="20"/>
              </w:rPr>
              <w:t>finančná čistá súčasná hodnota investície</w:t>
            </w:r>
          </w:p>
        </w:tc>
      </w:tr>
      <w:tr w:rsidR="005E7C86" w:rsidRPr="00B552CC" w14:paraId="66F30A13" w14:textId="77777777" w:rsidTr="009655F7">
        <w:tc>
          <w:tcPr>
            <w:tcW w:w="1413" w:type="dxa"/>
          </w:tcPr>
          <w:p w14:paraId="1F47C5F7" w14:textId="0FC4EE76" w:rsidR="005E7C86" w:rsidRPr="00B552CC" w:rsidRDefault="005E7C86" w:rsidP="005A7D49">
            <w:pPr>
              <w:spacing w:before="40" w:after="40" w:line="240" w:lineRule="auto"/>
              <w:rPr>
                <w:rFonts w:cs="Arial"/>
                <w:b/>
                <w:szCs w:val="20"/>
              </w:rPr>
            </w:pPr>
            <w:r w:rsidRPr="00B552CC">
              <w:rPr>
                <w:rFonts w:cs="Arial"/>
                <w:b/>
                <w:szCs w:val="20"/>
              </w:rPr>
              <w:t>FNPV_K</w:t>
            </w:r>
          </w:p>
        </w:tc>
        <w:tc>
          <w:tcPr>
            <w:tcW w:w="7938" w:type="dxa"/>
          </w:tcPr>
          <w:p w14:paraId="1F825B3E" w14:textId="394EBE51" w:rsidR="005E7C86" w:rsidRPr="00B552CC" w:rsidRDefault="005E7C86" w:rsidP="005A7D49">
            <w:pPr>
              <w:spacing w:before="40" w:after="40" w:line="240" w:lineRule="auto"/>
              <w:rPr>
                <w:rFonts w:cs="Arial"/>
                <w:szCs w:val="20"/>
              </w:rPr>
            </w:pPr>
            <w:r w:rsidRPr="00B552CC">
              <w:rPr>
                <w:rFonts w:cs="Arial"/>
                <w:szCs w:val="20"/>
              </w:rPr>
              <w:t>finančná čistá súčasná hodnota kapitálu</w:t>
            </w:r>
          </w:p>
        </w:tc>
      </w:tr>
      <w:tr w:rsidR="005E7C86" w:rsidRPr="00B552CC" w14:paraId="26F47F03" w14:textId="77777777" w:rsidTr="009655F7">
        <w:tc>
          <w:tcPr>
            <w:tcW w:w="1413" w:type="dxa"/>
          </w:tcPr>
          <w:p w14:paraId="4143BF2F" w14:textId="77777777" w:rsidR="005E7C86" w:rsidRPr="00B552CC" w:rsidRDefault="005E7C86" w:rsidP="005A7D49">
            <w:pPr>
              <w:spacing w:before="40" w:after="40" w:line="240" w:lineRule="auto"/>
              <w:rPr>
                <w:rFonts w:cs="Arial"/>
                <w:b/>
                <w:szCs w:val="20"/>
              </w:rPr>
            </w:pPr>
            <w:r w:rsidRPr="00B552CC">
              <w:rPr>
                <w:rFonts w:cs="Arial"/>
                <w:b/>
                <w:szCs w:val="20"/>
              </w:rPr>
              <w:t>HW</w:t>
            </w:r>
          </w:p>
        </w:tc>
        <w:tc>
          <w:tcPr>
            <w:tcW w:w="7938" w:type="dxa"/>
          </w:tcPr>
          <w:p w14:paraId="5F0A3DDF" w14:textId="029A131B" w:rsidR="005E7C86" w:rsidRPr="00B552CC" w:rsidRDefault="005E7C86" w:rsidP="005A7D49">
            <w:pPr>
              <w:spacing w:before="40" w:after="40" w:line="240" w:lineRule="auto"/>
              <w:rPr>
                <w:rFonts w:cs="Arial"/>
                <w:szCs w:val="20"/>
              </w:rPr>
            </w:pPr>
            <w:r w:rsidRPr="00B552CC">
              <w:rPr>
                <w:rFonts w:cs="Arial"/>
                <w:szCs w:val="20"/>
              </w:rPr>
              <w:t xml:space="preserve">hardware, </w:t>
            </w:r>
            <w:r w:rsidR="004D4B5F" w:rsidRPr="00B552CC">
              <w:rPr>
                <w:rFonts w:cs="Arial"/>
                <w:szCs w:val="20"/>
              </w:rPr>
              <w:t xml:space="preserve">technické </w:t>
            </w:r>
            <w:r w:rsidRPr="00B552CC">
              <w:rPr>
                <w:rFonts w:cs="Arial"/>
                <w:szCs w:val="20"/>
              </w:rPr>
              <w:t>zariadenia a výpočtová technika</w:t>
            </w:r>
          </w:p>
        </w:tc>
      </w:tr>
      <w:tr w:rsidR="005E7C86" w:rsidRPr="00B552CC" w14:paraId="5832270E" w14:textId="77777777" w:rsidTr="009655F7">
        <w:tc>
          <w:tcPr>
            <w:tcW w:w="1413" w:type="dxa"/>
          </w:tcPr>
          <w:p w14:paraId="5151C13A" w14:textId="62C268ED" w:rsidR="005E7C86" w:rsidRPr="00B552CC" w:rsidRDefault="005E7C86" w:rsidP="005A7D49">
            <w:pPr>
              <w:spacing w:before="40" w:after="40" w:line="240" w:lineRule="auto"/>
              <w:rPr>
                <w:rFonts w:cs="Arial"/>
                <w:b/>
                <w:szCs w:val="20"/>
              </w:rPr>
            </w:pPr>
            <w:r w:rsidRPr="00B552CC">
              <w:rPr>
                <w:rFonts w:cs="Arial"/>
                <w:b/>
                <w:szCs w:val="20"/>
              </w:rPr>
              <w:t>IKT</w:t>
            </w:r>
          </w:p>
        </w:tc>
        <w:tc>
          <w:tcPr>
            <w:tcW w:w="7938" w:type="dxa"/>
          </w:tcPr>
          <w:p w14:paraId="486EA80F" w14:textId="20B455C7" w:rsidR="005E7C86" w:rsidRPr="00B552CC" w:rsidRDefault="005E7C86" w:rsidP="005A7D49">
            <w:pPr>
              <w:spacing w:before="40" w:after="40" w:line="240" w:lineRule="auto"/>
              <w:rPr>
                <w:rFonts w:cs="Arial"/>
                <w:szCs w:val="20"/>
              </w:rPr>
            </w:pPr>
            <w:r w:rsidRPr="00B552CC">
              <w:rPr>
                <w:rFonts w:cs="Arial"/>
                <w:szCs w:val="20"/>
              </w:rPr>
              <w:t>informačné a komunikačné technológie</w:t>
            </w:r>
          </w:p>
        </w:tc>
      </w:tr>
      <w:tr w:rsidR="005E7C86" w:rsidRPr="00B552CC" w14:paraId="6818183A" w14:textId="77777777" w:rsidTr="009655F7">
        <w:tc>
          <w:tcPr>
            <w:tcW w:w="1413" w:type="dxa"/>
          </w:tcPr>
          <w:p w14:paraId="12235F69" w14:textId="77777777" w:rsidR="005E7C86" w:rsidRPr="00B552CC" w:rsidRDefault="005E7C86" w:rsidP="005A7D49">
            <w:pPr>
              <w:spacing w:before="40" w:after="40" w:line="240" w:lineRule="auto"/>
              <w:rPr>
                <w:rFonts w:cs="Arial"/>
                <w:b/>
                <w:szCs w:val="20"/>
              </w:rPr>
            </w:pPr>
            <w:r w:rsidRPr="00B552CC">
              <w:rPr>
                <w:rFonts w:cs="Arial"/>
                <w:b/>
                <w:szCs w:val="20"/>
              </w:rPr>
              <w:t>KPI</w:t>
            </w:r>
          </w:p>
        </w:tc>
        <w:tc>
          <w:tcPr>
            <w:tcW w:w="7938" w:type="dxa"/>
          </w:tcPr>
          <w:p w14:paraId="720FED86" w14:textId="77777777" w:rsidR="005E7C86" w:rsidRPr="00B552CC" w:rsidRDefault="005E7C86" w:rsidP="005A7D49">
            <w:pPr>
              <w:spacing w:before="40" w:after="40" w:line="240" w:lineRule="auto"/>
              <w:rPr>
                <w:rFonts w:cs="Arial"/>
                <w:szCs w:val="20"/>
              </w:rPr>
            </w:pPr>
            <w:r w:rsidRPr="00B552CC">
              <w:rPr>
                <w:rFonts w:cs="Arial"/>
                <w:szCs w:val="20"/>
              </w:rPr>
              <w:t>kľúčové ukazovatele výkonnosti (</w:t>
            </w:r>
            <w:r w:rsidRPr="00B552CC">
              <w:rPr>
                <w:rFonts w:cs="Arial"/>
                <w:i/>
                <w:szCs w:val="20"/>
                <w:lang w:val="en-GB"/>
              </w:rPr>
              <w:t>Key Performance Indicators</w:t>
            </w:r>
            <w:r w:rsidRPr="00B552CC">
              <w:rPr>
                <w:rFonts w:cs="Arial"/>
                <w:szCs w:val="20"/>
              </w:rPr>
              <w:t xml:space="preserve">) </w:t>
            </w:r>
          </w:p>
        </w:tc>
      </w:tr>
      <w:tr w:rsidR="005E7C86" w:rsidRPr="00B552CC" w14:paraId="63AEB513" w14:textId="77777777" w:rsidTr="009655F7">
        <w:tc>
          <w:tcPr>
            <w:tcW w:w="1413" w:type="dxa"/>
          </w:tcPr>
          <w:p w14:paraId="5B3C0B80" w14:textId="673C7D2D" w:rsidR="005E7C86" w:rsidRPr="00B552CC" w:rsidRDefault="005E7C86" w:rsidP="005A7D49">
            <w:pPr>
              <w:spacing w:before="40" w:after="40" w:line="240" w:lineRule="auto"/>
              <w:rPr>
                <w:rFonts w:cs="Arial"/>
                <w:b/>
                <w:szCs w:val="20"/>
              </w:rPr>
            </w:pPr>
            <w:r w:rsidRPr="00B552CC">
              <w:rPr>
                <w:rFonts w:cs="Arial"/>
                <w:b/>
                <w:szCs w:val="20"/>
              </w:rPr>
              <w:t>MDV</w:t>
            </w:r>
          </w:p>
        </w:tc>
        <w:tc>
          <w:tcPr>
            <w:tcW w:w="7938" w:type="dxa"/>
          </w:tcPr>
          <w:p w14:paraId="2992114E" w14:textId="6F5C0466" w:rsidR="005E7C86" w:rsidRPr="00B552CC" w:rsidRDefault="005E7C86" w:rsidP="005A7D49">
            <w:pPr>
              <w:spacing w:before="40" w:after="40" w:line="240" w:lineRule="auto"/>
              <w:rPr>
                <w:rFonts w:cs="Arial"/>
                <w:szCs w:val="20"/>
              </w:rPr>
            </w:pPr>
            <w:r w:rsidRPr="00B552CC">
              <w:rPr>
                <w:rFonts w:cs="Arial"/>
                <w:szCs w:val="20"/>
              </w:rPr>
              <w:t>Ministerstvo dopravy a výstavby Slovenskej republiky</w:t>
            </w:r>
          </w:p>
        </w:tc>
      </w:tr>
      <w:tr w:rsidR="000D4BB5" w:rsidRPr="00B552CC" w14:paraId="4A11169E" w14:textId="77777777" w:rsidTr="009655F7">
        <w:tc>
          <w:tcPr>
            <w:tcW w:w="1413" w:type="dxa"/>
          </w:tcPr>
          <w:p w14:paraId="3E725D47" w14:textId="49EDEC4E" w:rsidR="000D4BB5" w:rsidRPr="00B552CC" w:rsidRDefault="000D4BB5" w:rsidP="005A7D49">
            <w:pPr>
              <w:spacing w:before="40" w:after="40" w:line="240" w:lineRule="auto"/>
              <w:rPr>
                <w:rFonts w:cs="Arial"/>
                <w:b/>
                <w:szCs w:val="20"/>
              </w:rPr>
            </w:pPr>
            <w:r w:rsidRPr="00B552CC">
              <w:rPr>
                <w:rFonts w:cs="Arial"/>
                <w:b/>
                <w:szCs w:val="20"/>
              </w:rPr>
              <w:lastRenderedPageBreak/>
              <w:t>MEV</w:t>
            </w:r>
          </w:p>
        </w:tc>
        <w:tc>
          <w:tcPr>
            <w:tcW w:w="7938" w:type="dxa"/>
          </w:tcPr>
          <w:p w14:paraId="44714FD9" w14:textId="030EB0E9" w:rsidR="000D4BB5" w:rsidRPr="00B552CC" w:rsidRDefault="000D4BB5" w:rsidP="005A7D49">
            <w:pPr>
              <w:spacing w:before="40" w:after="40" w:line="240" w:lineRule="auto"/>
              <w:rPr>
                <w:rFonts w:cs="Arial"/>
                <w:szCs w:val="20"/>
              </w:rPr>
            </w:pPr>
            <w:r w:rsidRPr="00B552CC">
              <w:rPr>
                <w:rFonts w:cs="Arial"/>
                <w:szCs w:val="20"/>
              </w:rPr>
              <w:t>hliadkovacie vozidlo mýtnej polície s technológiou na kontrolu mýta (</w:t>
            </w:r>
            <w:r w:rsidRPr="00B552CC">
              <w:rPr>
                <w:rFonts w:cs="Arial"/>
                <w:i/>
                <w:szCs w:val="20"/>
                <w:lang w:val="en-GB"/>
              </w:rPr>
              <w:t>Mobile Enforcement Vehicle</w:t>
            </w:r>
            <w:r w:rsidRPr="00B552CC">
              <w:rPr>
                <w:rFonts w:cs="Arial"/>
                <w:szCs w:val="20"/>
              </w:rPr>
              <w:t>)</w:t>
            </w:r>
          </w:p>
        </w:tc>
      </w:tr>
      <w:tr w:rsidR="00F47DD3" w:rsidRPr="00B552CC" w14:paraId="4DB791CA" w14:textId="77777777" w:rsidTr="009655F7">
        <w:tc>
          <w:tcPr>
            <w:tcW w:w="1413" w:type="dxa"/>
          </w:tcPr>
          <w:p w14:paraId="40357D24" w14:textId="759EC98F" w:rsidR="00F47DD3" w:rsidRPr="00B552CC" w:rsidRDefault="00F47DD3" w:rsidP="005A7D49">
            <w:pPr>
              <w:spacing w:before="40" w:after="40" w:line="240" w:lineRule="auto"/>
              <w:rPr>
                <w:rFonts w:cs="Arial"/>
                <w:b/>
                <w:szCs w:val="20"/>
              </w:rPr>
            </w:pPr>
            <w:r>
              <w:rPr>
                <w:rFonts w:cs="Arial"/>
                <w:b/>
                <w:szCs w:val="20"/>
              </w:rPr>
              <w:t>MIRRI</w:t>
            </w:r>
          </w:p>
        </w:tc>
        <w:tc>
          <w:tcPr>
            <w:tcW w:w="7938" w:type="dxa"/>
          </w:tcPr>
          <w:p w14:paraId="5F0E96AF" w14:textId="5EE57EE6" w:rsidR="00F47DD3" w:rsidRPr="00B552CC" w:rsidRDefault="00F47DD3" w:rsidP="005A7D49">
            <w:pPr>
              <w:spacing w:before="40" w:after="40" w:line="240" w:lineRule="auto"/>
              <w:rPr>
                <w:rFonts w:cs="Arial"/>
                <w:szCs w:val="20"/>
              </w:rPr>
            </w:pPr>
            <w:r>
              <w:rPr>
                <w:rFonts w:cs="Arial"/>
                <w:szCs w:val="20"/>
              </w:rPr>
              <w:t>Ministerstvo investícií, regionálneho rozvoja a informatizácie Slovenskej republiky</w:t>
            </w:r>
          </w:p>
        </w:tc>
      </w:tr>
      <w:tr w:rsidR="000D4BB5" w:rsidRPr="00B552CC" w14:paraId="797026F0" w14:textId="77777777" w:rsidTr="009655F7">
        <w:tc>
          <w:tcPr>
            <w:tcW w:w="1413" w:type="dxa"/>
          </w:tcPr>
          <w:p w14:paraId="1E3EE18A" w14:textId="0804C8CE" w:rsidR="000D4BB5" w:rsidRPr="00B552CC" w:rsidRDefault="000D4BB5" w:rsidP="005A7D49">
            <w:pPr>
              <w:spacing w:before="40" w:after="40" w:line="240" w:lineRule="auto"/>
              <w:rPr>
                <w:rFonts w:cs="Arial"/>
                <w:b/>
                <w:szCs w:val="20"/>
              </w:rPr>
            </w:pPr>
            <w:r w:rsidRPr="00B552CC">
              <w:rPr>
                <w:rFonts w:cs="Arial"/>
                <w:b/>
                <w:szCs w:val="20"/>
              </w:rPr>
              <w:t>MLC</w:t>
            </w:r>
          </w:p>
        </w:tc>
        <w:tc>
          <w:tcPr>
            <w:tcW w:w="7938" w:type="dxa"/>
          </w:tcPr>
          <w:p w14:paraId="6D5F3B3B" w14:textId="27526661" w:rsidR="000D4BB5" w:rsidRPr="00B552CC" w:rsidRDefault="000D4BB5" w:rsidP="005A7D49">
            <w:pPr>
              <w:spacing w:before="40" w:after="40" w:line="240" w:lineRule="auto"/>
              <w:rPr>
                <w:rFonts w:cs="Arial"/>
                <w:szCs w:val="20"/>
              </w:rPr>
            </w:pPr>
            <w:r w:rsidRPr="00B552CC">
              <w:rPr>
                <w:rFonts w:cs="Arial"/>
                <w:szCs w:val="20"/>
              </w:rPr>
              <w:t>radič kontrolnej brány pre viac jazdných pruhov (</w:t>
            </w:r>
            <w:r w:rsidRPr="00B552CC">
              <w:rPr>
                <w:rFonts w:cs="Arial"/>
                <w:i/>
                <w:szCs w:val="20"/>
                <w:lang w:val="en-GB"/>
              </w:rPr>
              <w:t>Multi-Lane Controller</w:t>
            </w:r>
            <w:r w:rsidRPr="00B552CC">
              <w:rPr>
                <w:rFonts w:cs="Arial"/>
                <w:szCs w:val="20"/>
              </w:rPr>
              <w:t>)</w:t>
            </w:r>
          </w:p>
        </w:tc>
      </w:tr>
      <w:tr w:rsidR="000A5062" w:rsidRPr="00B552CC" w14:paraId="49D3BE79" w14:textId="77777777" w:rsidTr="009655F7">
        <w:tc>
          <w:tcPr>
            <w:tcW w:w="1413" w:type="dxa"/>
          </w:tcPr>
          <w:p w14:paraId="381A8B74" w14:textId="6E39EF92" w:rsidR="000A5062" w:rsidRPr="00B552CC" w:rsidRDefault="000A5062" w:rsidP="005A7D49">
            <w:pPr>
              <w:spacing w:before="40" w:after="40" w:line="240" w:lineRule="auto"/>
              <w:rPr>
                <w:rFonts w:cs="Arial"/>
                <w:b/>
                <w:szCs w:val="20"/>
              </w:rPr>
            </w:pPr>
            <w:r w:rsidRPr="00B552CC">
              <w:rPr>
                <w:rFonts w:cs="Arial"/>
                <w:b/>
                <w:szCs w:val="20"/>
              </w:rPr>
              <w:t>NDS</w:t>
            </w:r>
          </w:p>
        </w:tc>
        <w:tc>
          <w:tcPr>
            <w:tcW w:w="7938" w:type="dxa"/>
          </w:tcPr>
          <w:p w14:paraId="6D64A9D2" w14:textId="37E4EDE3" w:rsidR="000A5062" w:rsidRPr="00B552CC" w:rsidRDefault="000A5062" w:rsidP="005A7D49">
            <w:pPr>
              <w:spacing w:before="40" w:after="40" w:line="240" w:lineRule="auto"/>
              <w:rPr>
                <w:rFonts w:cs="Arial"/>
                <w:szCs w:val="20"/>
              </w:rPr>
            </w:pPr>
            <w:r w:rsidRPr="00B552CC">
              <w:rPr>
                <w:rFonts w:cs="Arial"/>
                <w:szCs w:val="20"/>
              </w:rPr>
              <w:t>Národná diaľničná spoločnosť, a. s.</w:t>
            </w:r>
            <w:r w:rsidR="004D4B5F" w:rsidRPr="00B552CC">
              <w:rPr>
                <w:rFonts w:cs="Arial"/>
                <w:szCs w:val="20"/>
              </w:rPr>
              <w:t>, Dúbravská cesta 14, 841 04 Bratislava</w:t>
            </w:r>
          </w:p>
        </w:tc>
      </w:tr>
      <w:tr w:rsidR="005E7C86" w:rsidRPr="00B552CC" w14:paraId="4E9D7749" w14:textId="77777777" w:rsidTr="009655F7">
        <w:tc>
          <w:tcPr>
            <w:tcW w:w="1413" w:type="dxa"/>
          </w:tcPr>
          <w:p w14:paraId="62393EAA" w14:textId="77777777" w:rsidR="005E7C86" w:rsidRPr="00B552CC" w:rsidRDefault="005E7C86" w:rsidP="005A7D49">
            <w:pPr>
              <w:spacing w:before="40" w:after="40" w:line="240" w:lineRule="auto"/>
              <w:rPr>
                <w:rFonts w:cs="Arial"/>
                <w:b/>
                <w:szCs w:val="20"/>
              </w:rPr>
            </w:pPr>
            <w:r w:rsidRPr="00B552CC">
              <w:rPr>
                <w:rFonts w:cs="Arial"/>
                <w:b/>
                <w:szCs w:val="20"/>
              </w:rPr>
              <w:t>OBE</w:t>
            </w:r>
          </w:p>
        </w:tc>
        <w:tc>
          <w:tcPr>
            <w:tcW w:w="7938" w:type="dxa"/>
          </w:tcPr>
          <w:p w14:paraId="4925EA61" w14:textId="77777777" w:rsidR="005E7C86" w:rsidRPr="00B552CC" w:rsidRDefault="005E7C86" w:rsidP="005A7D49">
            <w:pPr>
              <w:spacing w:before="40" w:after="40" w:line="240" w:lineRule="auto"/>
              <w:rPr>
                <w:rFonts w:cs="Arial"/>
                <w:szCs w:val="20"/>
              </w:rPr>
            </w:pPr>
            <w:r w:rsidRPr="00B552CC">
              <w:rPr>
                <w:rFonts w:cs="Arial"/>
                <w:szCs w:val="20"/>
              </w:rPr>
              <w:t>interoperabilné elektronické zariadenie (Palubná jednotka) umožňujúce poskytovanie EETS (</w:t>
            </w:r>
            <w:r w:rsidRPr="00B552CC">
              <w:rPr>
                <w:rFonts w:cs="Arial"/>
                <w:i/>
                <w:szCs w:val="20"/>
                <w:lang w:val="en-GB"/>
              </w:rPr>
              <w:t>On-board Equipment</w:t>
            </w:r>
            <w:r w:rsidRPr="00B552CC">
              <w:rPr>
                <w:rFonts w:cs="Arial"/>
                <w:szCs w:val="20"/>
              </w:rPr>
              <w:t>)</w:t>
            </w:r>
          </w:p>
        </w:tc>
      </w:tr>
      <w:tr w:rsidR="005E7C86" w:rsidRPr="00B552CC" w14:paraId="3723F644" w14:textId="77777777" w:rsidTr="009655F7">
        <w:tc>
          <w:tcPr>
            <w:tcW w:w="1413" w:type="dxa"/>
          </w:tcPr>
          <w:p w14:paraId="09F60284" w14:textId="77777777" w:rsidR="005E7C86" w:rsidRPr="00B552CC" w:rsidRDefault="005E7C86" w:rsidP="005A7D49">
            <w:pPr>
              <w:spacing w:before="40" w:after="40" w:line="240" w:lineRule="auto"/>
              <w:rPr>
                <w:rFonts w:cs="Arial"/>
                <w:b/>
                <w:szCs w:val="20"/>
              </w:rPr>
            </w:pPr>
            <w:r w:rsidRPr="00B552CC">
              <w:rPr>
                <w:rFonts w:cs="Arial"/>
                <w:b/>
                <w:szCs w:val="20"/>
              </w:rPr>
              <w:t>OBU</w:t>
            </w:r>
          </w:p>
        </w:tc>
        <w:tc>
          <w:tcPr>
            <w:tcW w:w="7938" w:type="dxa"/>
          </w:tcPr>
          <w:p w14:paraId="3DCB3102" w14:textId="7B52DDB0" w:rsidR="005E7C86" w:rsidRPr="00B552CC" w:rsidRDefault="000D4BB5" w:rsidP="005A7D49">
            <w:pPr>
              <w:spacing w:before="40" w:after="40" w:line="240" w:lineRule="auto"/>
              <w:rPr>
                <w:rFonts w:cs="Arial"/>
                <w:szCs w:val="20"/>
              </w:rPr>
            </w:pPr>
            <w:r w:rsidRPr="00B552CC">
              <w:rPr>
                <w:rFonts w:cs="Arial"/>
                <w:szCs w:val="20"/>
              </w:rPr>
              <w:t xml:space="preserve">palubná </w:t>
            </w:r>
            <w:r w:rsidR="005E7C86" w:rsidRPr="00B552CC">
              <w:rPr>
                <w:rFonts w:cs="Arial"/>
                <w:szCs w:val="20"/>
              </w:rPr>
              <w:t>jednotka (</w:t>
            </w:r>
            <w:r w:rsidR="005E7C86" w:rsidRPr="00B552CC">
              <w:rPr>
                <w:rFonts w:cs="Arial"/>
                <w:i/>
                <w:szCs w:val="20"/>
                <w:lang w:val="en-GB"/>
              </w:rPr>
              <w:t>On-board Unit</w:t>
            </w:r>
            <w:r w:rsidR="005E7C86" w:rsidRPr="00B552CC">
              <w:rPr>
                <w:rFonts w:cs="Arial"/>
                <w:szCs w:val="20"/>
              </w:rPr>
              <w:t>)</w:t>
            </w:r>
          </w:p>
        </w:tc>
      </w:tr>
      <w:tr w:rsidR="000D4BB5" w:rsidRPr="00B552CC" w14:paraId="19F9212B" w14:textId="77777777" w:rsidTr="009655F7">
        <w:tc>
          <w:tcPr>
            <w:tcW w:w="1413" w:type="dxa"/>
          </w:tcPr>
          <w:p w14:paraId="5F82183A" w14:textId="4E274319" w:rsidR="000D4BB5" w:rsidRPr="00B552CC" w:rsidRDefault="000D4BB5" w:rsidP="005A7D49">
            <w:pPr>
              <w:spacing w:before="40" w:after="40" w:line="240" w:lineRule="auto"/>
              <w:rPr>
                <w:rFonts w:cs="Arial"/>
                <w:b/>
                <w:szCs w:val="20"/>
              </w:rPr>
            </w:pPr>
            <w:r w:rsidRPr="00B552CC">
              <w:rPr>
                <w:rFonts w:cs="Arial"/>
                <w:b/>
                <w:szCs w:val="20"/>
              </w:rPr>
              <w:t>PK</w:t>
            </w:r>
          </w:p>
        </w:tc>
        <w:tc>
          <w:tcPr>
            <w:tcW w:w="7938" w:type="dxa"/>
          </w:tcPr>
          <w:p w14:paraId="1CE861B5" w14:textId="147A0F91" w:rsidR="000D4BB5" w:rsidRPr="00B552CC" w:rsidRDefault="000D4BB5" w:rsidP="005A7D49">
            <w:pPr>
              <w:spacing w:before="40" w:after="40" w:line="240" w:lineRule="auto"/>
              <w:rPr>
                <w:rFonts w:cs="Arial"/>
                <w:szCs w:val="20"/>
              </w:rPr>
            </w:pPr>
            <w:r w:rsidRPr="00B552CC">
              <w:rPr>
                <w:rFonts w:cs="Arial"/>
                <w:szCs w:val="20"/>
              </w:rPr>
              <w:t>palivové karty</w:t>
            </w:r>
          </w:p>
        </w:tc>
      </w:tr>
      <w:tr w:rsidR="004D4B5F" w:rsidRPr="00B552CC" w14:paraId="12B4FD3F" w14:textId="77777777" w:rsidTr="009655F7">
        <w:tc>
          <w:tcPr>
            <w:tcW w:w="1413" w:type="dxa"/>
          </w:tcPr>
          <w:p w14:paraId="55EFE30D" w14:textId="0923AD37" w:rsidR="004D4B5F" w:rsidRPr="00B552CC" w:rsidRDefault="004D4B5F" w:rsidP="00313F9C">
            <w:pPr>
              <w:spacing w:before="40" w:after="40" w:line="240" w:lineRule="auto"/>
              <w:rPr>
                <w:rFonts w:cs="Arial"/>
                <w:b/>
                <w:szCs w:val="20"/>
              </w:rPr>
            </w:pPr>
            <w:r w:rsidRPr="00B552CC">
              <w:rPr>
                <w:rFonts w:cs="Arial"/>
                <w:b/>
                <w:szCs w:val="20"/>
              </w:rPr>
              <w:t>SkyToll</w:t>
            </w:r>
          </w:p>
        </w:tc>
        <w:tc>
          <w:tcPr>
            <w:tcW w:w="7938" w:type="dxa"/>
          </w:tcPr>
          <w:p w14:paraId="6EE64369" w14:textId="733B9690" w:rsidR="004D4B5F" w:rsidRPr="00B552CC" w:rsidRDefault="004D4B5F" w:rsidP="00205EAE">
            <w:pPr>
              <w:spacing w:before="40" w:after="40" w:line="240" w:lineRule="auto"/>
              <w:rPr>
                <w:rFonts w:cs="Arial"/>
                <w:szCs w:val="20"/>
              </w:rPr>
            </w:pPr>
            <w:r w:rsidRPr="00B552CC">
              <w:rPr>
                <w:rFonts w:cs="Arial"/>
                <w:szCs w:val="20"/>
              </w:rPr>
              <w:t>spoločnosť SkyToll, a. s., Westend Square, Lamačská cesta 3/B, 841 04 Bratislava</w:t>
            </w:r>
          </w:p>
        </w:tc>
      </w:tr>
      <w:tr w:rsidR="005E7C86" w:rsidRPr="00B552CC" w14:paraId="28CDE4F2" w14:textId="77777777" w:rsidTr="009655F7">
        <w:tc>
          <w:tcPr>
            <w:tcW w:w="1413" w:type="dxa"/>
          </w:tcPr>
          <w:p w14:paraId="26E02EDE" w14:textId="77777777" w:rsidR="005E7C86" w:rsidRPr="00B552CC" w:rsidRDefault="005E7C86" w:rsidP="005A7D49">
            <w:pPr>
              <w:spacing w:before="40" w:after="40" w:line="240" w:lineRule="auto"/>
              <w:rPr>
                <w:rFonts w:cs="Arial"/>
                <w:b/>
                <w:szCs w:val="20"/>
              </w:rPr>
            </w:pPr>
            <w:r w:rsidRPr="00B552CC">
              <w:rPr>
                <w:rFonts w:cs="Arial"/>
                <w:b/>
                <w:szCs w:val="20"/>
              </w:rPr>
              <w:t>SW</w:t>
            </w:r>
          </w:p>
        </w:tc>
        <w:tc>
          <w:tcPr>
            <w:tcW w:w="7938" w:type="dxa"/>
          </w:tcPr>
          <w:p w14:paraId="0172B672" w14:textId="541AFD48" w:rsidR="005E7C86" w:rsidRPr="00B552CC" w:rsidRDefault="004D4B5F" w:rsidP="005A7D49">
            <w:pPr>
              <w:spacing w:before="40" w:after="40" w:line="240" w:lineRule="auto"/>
              <w:rPr>
                <w:rFonts w:cs="Arial"/>
                <w:szCs w:val="20"/>
              </w:rPr>
            </w:pPr>
            <w:r w:rsidRPr="00B552CC">
              <w:rPr>
                <w:rFonts w:cs="Arial"/>
                <w:szCs w:val="20"/>
              </w:rPr>
              <w:t>softvér</w:t>
            </w:r>
            <w:r w:rsidR="005E7C86" w:rsidRPr="00B552CC">
              <w:rPr>
                <w:rFonts w:cs="Arial"/>
                <w:szCs w:val="20"/>
              </w:rPr>
              <w:t>, programové vybavenie výpočtových systémov</w:t>
            </w:r>
          </w:p>
        </w:tc>
      </w:tr>
      <w:tr w:rsidR="00F47DD3" w:rsidRPr="00B552CC" w14:paraId="0F037EE9" w14:textId="77777777" w:rsidTr="009655F7">
        <w:tc>
          <w:tcPr>
            <w:tcW w:w="1413" w:type="dxa"/>
          </w:tcPr>
          <w:p w14:paraId="5B577011" w14:textId="36B3BCDC" w:rsidR="00F47DD3" w:rsidRPr="00B552CC" w:rsidRDefault="00F47DD3" w:rsidP="005A7D49">
            <w:pPr>
              <w:spacing w:before="40" w:after="40" w:line="240" w:lineRule="auto"/>
              <w:rPr>
                <w:rFonts w:cs="Arial"/>
                <w:b/>
                <w:szCs w:val="20"/>
              </w:rPr>
            </w:pPr>
            <w:r>
              <w:rPr>
                <w:rFonts w:cs="Arial"/>
                <w:b/>
                <w:szCs w:val="20"/>
              </w:rPr>
              <w:t>UCWA</w:t>
            </w:r>
          </w:p>
        </w:tc>
        <w:tc>
          <w:tcPr>
            <w:tcW w:w="7938" w:type="dxa"/>
          </w:tcPr>
          <w:p w14:paraId="44731BEF" w14:textId="349092CB" w:rsidR="00F47DD3" w:rsidRPr="00B552CC" w:rsidRDefault="00F47DD3" w:rsidP="005A7D49">
            <w:pPr>
              <w:spacing w:before="40" w:after="40" w:line="240" w:lineRule="auto"/>
              <w:rPr>
                <w:rFonts w:cs="Arial"/>
                <w:szCs w:val="20"/>
              </w:rPr>
            </w:pPr>
            <w:r>
              <w:rPr>
                <w:rFonts w:cs="Arial"/>
                <w:szCs w:val="20"/>
              </w:rPr>
              <w:t>metodika stanovenia plánovaných nákladov na vývoj softvéru na základe analýzy prípadov použitia</w:t>
            </w:r>
            <w:r w:rsidR="00EF7E53">
              <w:rPr>
                <w:rFonts w:cs="Arial"/>
                <w:szCs w:val="20"/>
              </w:rPr>
              <w:t xml:space="preserve"> (</w:t>
            </w:r>
            <w:r w:rsidR="00EF7E53" w:rsidRPr="00EF1CB7">
              <w:rPr>
                <w:rFonts w:cs="Arial"/>
                <w:i/>
                <w:szCs w:val="20"/>
              </w:rPr>
              <w:t>Use Cases</w:t>
            </w:r>
            <w:r w:rsidR="00EF7E53">
              <w:rPr>
                <w:rFonts w:cs="Arial"/>
                <w:szCs w:val="20"/>
              </w:rPr>
              <w:t>)</w:t>
            </w:r>
          </w:p>
        </w:tc>
      </w:tr>
      <w:tr w:rsidR="005E7C86" w:rsidRPr="00B552CC" w14:paraId="0D3DC87D" w14:textId="77777777" w:rsidTr="009655F7">
        <w:tc>
          <w:tcPr>
            <w:tcW w:w="1413" w:type="dxa"/>
          </w:tcPr>
          <w:p w14:paraId="436C313C" w14:textId="77777777" w:rsidR="005E7C86" w:rsidRPr="00B552CC" w:rsidRDefault="005E7C86" w:rsidP="005A7D49">
            <w:pPr>
              <w:spacing w:before="40" w:after="40" w:line="240" w:lineRule="auto"/>
              <w:rPr>
                <w:rFonts w:cs="Arial"/>
                <w:b/>
                <w:szCs w:val="20"/>
              </w:rPr>
            </w:pPr>
            <w:r w:rsidRPr="00B552CC">
              <w:rPr>
                <w:rFonts w:cs="Arial"/>
                <w:b/>
                <w:szCs w:val="20"/>
              </w:rPr>
              <w:t>VÚC</w:t>
            </w:r>
          </w:p>
        </w:tc>
        <w:tc>
          <w:tcPr>
            <w:tcW w:w="7938" w:type="dxa"/>
          </w:tcPr>
          <w:p w14:paraId="28A99820" w14:textId="05F27FA0" w:rsidR="005E7C86" w:rsidRPr="00B552CC" w:rsidRDefault="004D4B5F" w:rsidP="005A7D49">
            <w:pPr>
              <w:spacing w:before="40" w:after="40" w:line="240" w:lineRule="auto"/>
              <w:rPr>
                <w:rFonts w:cs="Arial"/>
                <w:szCs w:val="20"/>
              </w:rPr>
            </w:pPr>
            <w:r w:rsidRPr="00B552CC">
              <w:rPr>
                <w:rFonts w:cs="Arial"/>
                <w:szCs w:val="20"/>
              </w:rPr>
              <w:t xml:space="preserve">vymedzené </w:t>
            </w:r>
            <w:r w:rsidR="005E7C86" w:rsidRPr="00B552CC">
              <w:rPr>
                <w:rFonts w:cs="Arial"/>
                <w:szCs w:val="20"/>
              </w:rPr>
              <w:t>úseky ciest</w:t>
            </w:r>
          </w:p>
        </w:tc>
      </w:tr>
      <w:tr w:rsidR="003B364C" w:rsidRPr="00B552CC" w14:paraId="13F22890" w14:textId="77777777" w:rsidTr="009655F7">
        <w:tc>
          <w:tcPr>
            <w:tcW w:w="1413" w:type="dxa"/>
          </w:tcPr>
          <w:p w14:paraId="731E94EE" w14:textId="4A7A8A81" w:rsidR="003B364C" w:rsidRPr="00B552CC" w:rsidRDefault="003B364C" w:rsidP="00313F9C">
            <w:pPr>
              <w:spacing w:before="40" w:after="40" w:line="240" w:lineRule="auto"/>
              <w:rPr>
                <w:rFonts w:cs="Arial"/>
                <w:b/>
                <w:szCs w:val="20"/>
              </w:rPr>
            </w:pPr>
            <w:r w:rsidRPr="00B552CC">
              <w:rPr>
                <w:rFonts w:cs="Arial"/>
                <w:b/>
                <w:szCs w:val="20"/>
              </w:rPr>
              <w:t>Zmluva ETC</w:t>
            </w:r>
          </w:p>
        </w:tc>
        <w:tc>
          <w:tcPr>
            <w:tcW w:w="7938" w:type="dxa"/>
          </w:tcPr>
          <w:p w14:paraId="77445808" w14:textId="73CD334F" w:rsidR="003B364C" w:rsidRPr="00B552CC" w:rsidRDefault="003B364C" w:rsidP="00205EAE">
            <w:pPr>
              <w:spacing w:before="40" w:after="40" w:line="240" w:lineRule="auto"/>
              <w:rPr>
                <w:rFonts w:cs="Arial"/>
                <w:szCs w:val="20"/>
              </w:rPr>
            </w:pPr>
            <w:r w:rsidRPr="00B552CC">
              <w:rPr>
                <w:rFonts w:cs="Arial"/>
                <w:szCs w:val="20"/>
              </w:rPr>
              <w:t>Zmluva o poskytovaní komplexnej služby elektronického výberu mýta uzatvorenej medzi Národnou diaľničnou spoločnosťou, a. s. so sídlom Dúbravská cesta 14, 841 04 Bratislava a spoločnosťou SkyToll, a.</w:t>
            </w:r>
            <w:r w:rsidR="009C30DC" w:rsidRPr="00B552CC">
              <w:rPr>
                <w:rFonts w:cs="Arial"/>
                <w:szCs w:val="20"/>
              </w:rPr>
              <w:t> </w:t>
            </w:r>
            <w:r w:rsidRPr="00B552CC">
              <w:rPr>
                <w:rFonts w:cs="Arial"/>
                <w:szCs w:val="20"/>
              </w:rPr>
              <w:t>s., Westend Square, Lamačská cesta 3/B, 841 04 Bratislava dňa 13.01.2009,</w:t>
            </w:r>
          </w:p>
        </w:tc>
      </w:tr>
    </w:tbl>
    <w:p w14:paraId="08D06A70" w14:textId="77777777" w:rsidR="00F93983" w:rsidRDefault="00F93983">
      <w:pPr>
        <w:spacing w:before="0" w:after="0" w:line="240" w:lineRule="auto"/>
        <w:jc w:val="left"/>
      </w:pPr>
    </w:p>
    <w:p w14:paraId="15A7CB4B" w14:textId="578E5FC4" w:rsidR="00F93983" w:rsidRDefault="00F93983">
      <w:pPr>
        <w:spacing w:before="0" w:after="0" w:line="240" w:lineRule="auto"/>
        <w:jc w:val="left"/>
      </w:pPr>
      <w:r>
        <w:br w:type="page"/>
      </w:r>
    </w:p>
    <w:p w14:paraId="1590E9F5" w14:textId="5096D207" w:rsidR="00E3086F" w:rsidRDefault="00E3086F" w:rsidP="00EB5F19">
      <w:pPr>
        <w:pStyle w:val="Heading1"/>
      </w:pPr>
      <w:bookmarkStart w:id="20" w:name="_Toc74323893"/>
      <w:bookmarkStart w:id="21" w:name="_Toc74324022"/>
      <w:bookmarkStart w:id="22" w:name="_Toc74324152"/>
      <w:bookmarkStart w:id="23" w:name="_Toc74324265"/>
      <w:bookmarkStart w:id="24" w:name="_Toc74324377"/>
      <w:bookmarkStart w:id="25" w:name="_Toc74324488"/>
      <w:bookmarkStart w:id="26" w:name="_Toc74324598"/>
      <w:bookmarkStart w:id="27" w:name="_Toc74324706"/>
      <w:bookmarkStart w:id="28" w:name="_Toc87348700"/>
      <w:bookmarkEnd w:id="20"/>
      <w:bookmarkEnd w:id="21"/>
      <w:bookmarkEnd w:id="22"/>
      <w:bookmarkEnd w:id="23"/>
      <w:bookmarkEnd w:id="24"/>
      <w:bookmarkEnd w:id="25"/>
      <w:bookmarkEnd w:id="26"/>
      <w:bookmarkEnd w:id="27"/>
      <w:r>
        <w:lastRenderedPageBreak/>
        <w:t>Popis aktuálneho stavu</w:t>
      </w:r>
      <w:bookmarkEnd w:id="28"/>
    </w:p>
    <w:p w14:paraId="736C1DB7" w14:textId="5EB149F9" w:rsidR="00E3086F" w:rsidRDefault="00E3086F" w:rsidP="00E3086F">
      <w:pPr>
        <w:pStyle w:val="Heading2"/>
      </w:pPr>
      <w:bookmarkStart w:id="29" w:name="_Toc87348701"/>
      <w:r>
        <w:t>Legislatíva</w:t>
      </w:r>
      <w:bookmarkEnd w:id="29"/>
      <w:r>
        <w:t xml:space="preserve"> </w:t>
      </w:r>
    </w:p>
    <w:p w14:paraId="526FBD75" w14:textId="1F26C928" w:rsidR="00F51DDB" w:rsidRDefault="00F51DDB" w:rsidP="00F51DDB">
      <w:pPr>
        <w:pStyle w:val="Heading3"/>
      </w:pPr>
      <w:bookmarkStart w:id="30" w:name="_Toc87348702"/>
      <w:r>
        <w:t>Zákon o výbere mýta</w:t>
      </w:r>
      <w:bookmarkEnd w:id="30"/>
    </w:p>
    <w:p w14:paraId="2DFFB6A2" w14:textId="5F7004B8" w:rsidR="00064AA2" w:rsidRDefault="00064AA2" w:rsidP="004B040F">
      <w:r>
        <w:t xml:space="preserve">Poskytovanie EETS upravuje </w:t>
      </w:r>
      <w:r w:rsidRPr="00064AA2">
        <w:t>zákon č. 474/2013 Z. z. o výbere mýta za užívanie vymedzených úsekov pozemných komunikácií a o zmene a doplnení niektorých zákonov</w:t>
      </w:r>
      <w:r>
        <w:t>. Aktuálne platná právna úprava vychádza z</w:t>
      </w:r>
      <w:r w:rsidR="00EB5BA6">
        <w:t>o</w:t>
      </w:r>
      <w:r w:rsidR="00315B7F">
        <w:t xml:space="preserve"> Smernice </w:t>
      </w:r>
      <w:r w:rsidR="00315B7F" w:rsidRPr="00315B7F">
        <w:t>Európskeho parlamentu a Rady 2004/52/ES</w:t>
      </w:r>
      <w:r w:rsidR="004B040F">
        <w:t xml:space="preserve"> z 29. apríla 2004 o interoperabilite elektronických cestných mýtnych systémov v spoločenstve a z Rozhodnutia Komisie 2009/750/ES zo 6.</w:t>
      </w:r>
      <w:r w:rsidR="00EB5BA6">
        <w:t> </w:t>
      </w:r>
      <w:r w:rsidR="004B040F">
        <w:t>októbra 2009 o definícii Európskej služby elektronického výberu mýta a jej technických prvkov.</w:t>
      </w:r>
    </w:p>
    <w:p w14:paraId="7B8FB004" w14:textId="2F290173" w:rsidR="004B040F" w:rsidRPr="00C4355E" w:rsidRDefault="004B040F" w:rsidP="004B040F">
      <w:pPr>
        <w:rPr>
          <w:szCs w:val="20"/>
        </w:rPr>
      </w:pPr>
      <w:r w:rsidRPr="009F7CDF">
        <w:rPr>
          <w:szCs w:val="20"/>
        </w:rPr>
        <w:t xml:space="preserve">Smernica 2004/52/ES a Rozhodnutie </w:t>
      </w:r>
      <w:r w:rsidRPr="00C4355E">
        <w:rPr>
          <w:szCs w:val="20"/>
        </w:rPr>
        <w:t xml:space="preserve">2009/750/ES </w:t>
      </w:r>
      <w:r w:rsidRPr="009F7CDF">
        <w:rPr>
          <w:szCs w:val="20"/>
        </w:rPr>
        <w:t xml:space="preserve">sa zrušujú </w:t>
      </w:r>
      <w:r w:rsidR="001A5B1C" w:rsidRPr="009F7CDF">
        <w:rPr>
          <w:szCs w:val="20"/>
        </w:rPr>
        <w:t>s účinnosťou od 20. októbra 2021</w:t>
      </w:r>
      <w:r w:rsidRPr="009F7CDF">
        <w:rPr>
          <w:szCs w:val="20"/>
        </w:rPr>
        <w:t>.</w:t>
      </w:r>
      <w:r w:rsidR="001A5B1C" w:rsidRPr="009F7CDF">
        <w:rPr>
          <w:szCs w:val="20"/>
        </w:rPr>
        <w:t xml:space="preserve"> Odkazy v </w:t>
      </w:r>
      <w:r w:rsidR="004F16D4" w:rsidRPr="009F7CDF">
        <w:rPr>
          <w:szCs w:val="20"/>
        </w:rPr>
        <w:t>ZVM</w:t>
      </w:r>
      <w:r w:rsidR="001A5B1C" w:rsidRPr="009F7CDF">
        <w:rPr>
          <w:szCs w:val="20"/>
        </w:rPr>
        <w:t xml:space="preserve"> na zrušenú Smernicu 2004/52/ES sa považujú za odkazy na novú Smernicu</w:t>
      </w:r>
      <w:r w:rsidR="004F16D4" w:rsidRPr="009F7CDF">
        <w:rPr>
          <w:szCs w:val="20"/>
        </w:rPr>
        <w:t>.</w:t>
      </w:r>
      <w:r w:rsidR="001A5B1C" w:rsidRPr="009F7CDF">
        <w:rPr>
          <w:szCs w:val="20"/>
        </w:rPr>
        <w:t xml:space="preserve"> </w:t>
      </w:r>
    </w:p>
    <w:p w14:paraId="09D5106F" w14:textId="3691420B" w:rsidR="00F51DDB" w:rsidRDefault="00064AA2" w:rsidP="00064AA2">
      <w:pPr>
        <w:pStyle w:val="Heading3"/>
      </w:pPr>
      <w:bookmarkStart w:id="31" w:name="_Toc87348703"/>
      <w:r>
        <w:t>Smernica</w:t>
      </w:r>
      <w:bookmarkEnd w:id="31"/>
      <w:r w:rsidR="001A5B1C">
        <w:t xml:space="preserve"> </w:t>
      </w:r>
    </w:p>
    <w:p w14:paraId="1F01946D" w14:textId="57EDD91F" w:rsidR="00AB73AE" w:rsidRPr="00C4355E" w:rsidRDefault="00AB73AE" w:rsidP="00AB73AE">
      <w:pPr>
        <w:rPr>
          <w:szCs w:val="20"/>
        </w:rPr>
      </w:pPr>
      <w:r w:rsidRPr="00C4355E">
        <w:rPr>
          <w:szCs w:val="20"/>
        </w:rPr>
        <w:t>Európsku službu elektronického výberu mýta upravuje Smernica Európskeho parlamentu a Rady 2004/52/ES z 29. apríla 2004 o interoperabilite elektronických cestných mýtnych systémov v spoločenstve.</w:t>
      </w:r>
    </w:p>
    <w:p w14:paraId="16569EC6" w14:textId="70730F3C" w:rsidR="004F16D4" w:rsidRPr="00C4355E" w:rsidRDefault="00AB73AE" w:rsidP="004F16D4">
      <w:pPr>
        <w:rPr>
          <w:szCs w:val="20"/>
        </w:rPr>
      </w:pPr>
      <w:r w:rsidRPr="009F7CDF">
        <w:rPr>
          <w:szCs w:val="20"/>
        </w:rPr>
        <w:t>Smernica 2004/52/ES sa zrušuj</w:t>
      </w:r>
      <w:r w:rsidR="001509F6" w:rsidRPr="009F7CDF">
        <w:rPr>
          <w:szCs w:val="20"/>
        </w:rPr>
        <w:t>e</w:t>
      </w:r>
      <w:r w:rsidRPr="009F7CDF">
        <w:rPr>
          <w:szCs w:val="20"/>
        </w:rPr>
        <w:t xml:space="preserve"> s účinnosťou od </w:t>
      </w:r>
      <w:r w:rsidR="001A5B1C" w:rsidRPr="009F7CDF">
        <w:rPr>
          <w:szCs w:val="20"/>
        </w:rPr>
        <w:t>20</w:t>
      </w:r>
      <w:r w:rsidRPr="009F7CDF">
        <w:rPr>
          <w:szCs w:val="20"/>
        </w:rPr>
        <w:t>. októbra 2021</w:t>
      </w:r>
      <w:r w:rsidR="001A5B1C" w:rsidRPr="009F7CDF">
        <w:rPr>
          <w:szCs w:val="20"/>
        </w:rPr>
        <w:t>.</w:t>
      </w:r>
      <w:r w:rsidR="004F16D4" w:rsidRPr="009F7CDF">
        <w:rPr>
          <w:szCs w:val="20"/>
        </w:rPr>
        <w:t xml:space="preserve"> </w:t>
      </w:r>
    </w:p>
    <w:p w14:paraId="4D6E7747" w14:textId="77777777" w:rsidR="004F16D4" w:rsidRPr="009F7CDF" w:rsidRDefault="001A5B1C" w:rsidP="00AB73AE">
      <w:pPr>
        <w:rPr>
          <w:szCs w:val="20"/>
        </w:rPr>
      </w:pPr>
      <w:r w:rsidRPr="009F7CDF">
        <w:rPr>
          <w:szCs w:val="20"/>
        </w:rPr>
        <w:t>Smernica 2004/52/ES sa</w:t>
      </w:r>
      <w:r w:rsidR="001509F6" w:rsidRPr="009F7CDF">
        <w:rPr>
          <w:szCs w:val="20"/>
        </w:rPr>
        <w:t xml:space="preserve"> </w:t>
      </w:r>
      <w:r w:rsidRPr="009F7CDF">
        <w:rPr>
          <w:szCs w:val="20"/>
        </w:rPr>
        <w:t xml:space="preserve">s účinnosťou od 19. októbra 2021 </w:t>
      </w:r>
      <w:r w:rsidR="001509F6" w:rsidRPr="009F7CDF">
        <w:rPr>
          <w:szCs w:val="20"/>
        </w:rPr>
        <w:t>v plnom rozsahu nahrádza Smernicou Európskeho parlamentu a Rady (EÚ) 2019/520 z 19. marca 2019 o interoperabilite elektronických cestných mýtnych systémov a uľahčení cezhraničnej výmeny informácií o neuhradenom cestnom mýte v Únii (Ú. v. EÚ L 91, 29.03.2019)</w:t>
      </w:r>
      <w:r w:rsidR="00AB73AE" w:rsidRPr="009F7CDF">
        <w:rPr>
          <w:szCs w:val="20"/>
        </w:rPr>
        <w:t>.</w:t>
      </w:r>
      <w:r w:rsidR="004F16D4" w:rsidRPr="009F7CDF">
        <w:rPr>
          <w:szCs w:val="20"/>
        </w:rPr>
        <w:t xml:space="preserve"> </w:t>
      </w:r>
    </w:p>
    <w:p w14:paraId="5AAF58BF" w14:textId="018E5C10" w:rsidR="00AB73AE" w:rsidRPr="009F7CDF" w:rsidRDefault="004F16D4" w:rsidP="00AB73AE">
      <w:pPr>
        <w:rPr>
          <w:szCs w:val="20"/>
        </w:rPr>
      </w:pPr>
      <w:r w:rsidRPr="009F7CDF">
        <w:rPr>
          <w:szCs w:val="20"/>
        </w:rPr>
        <w:t>Odkazy v platných zákonoch, iných právnych predpisoch alebo správnych opatreniach na zrušenú Smernicu 2004/52/ES sa považujú za odkazy na novú Smernicu.</w:t>
      </w:r>
    </w:p>
    <w:p w14:paraId="07B1F3AE" w14:textId="7D9F8020" w:rsidR="001509F6" w:rsidRPr="00C4355E" w:rsidRDefault="0061290A" w:rsidP="001509F6">
      <w:pPr>
        <w:pStyle w:val="Heading3"/>
        <w:rPr>
          <w:szCs w:val="20"/>
        </w:rPr>
      </w:pPr>
      <w:bookmarkStart w:id="32" w:name="_Toc87348704"/>
      <w:r>
        <w:rPr>
          <w:szCs w:val="20"/>
        </w:rPr>
        <w:t>Vykonávacie predpisy k Smernici</w:t>
      </w:r>
      <w:bookmarkEnd w:id="32"/>
    </w:p>
    <w:p w14:paraId="408C1B8B" w14:textId="69EBDDA0" w:rsidR="004B040F" w:rsidRPr="00C4355E" w:rsidRDefault="001509F6" w:rsidP="004B040F">
      <w:pPr>
        <w:rPr>
          <w:szCs w:val="20"/>
        </w:rPr>
      </w:pPr>
      <w:r w:rsidRPr="00C4355E">
        <w:rPr>
          <w:szCs w:val="20"/>
        </w:rPr>
        <w:t>Technické prvky EETS definuje Rozhodnutie Komisie 2009/750/ES zo 6. októbra 2009 o definícii Európskej služby elektronického výberu mýta a jej technických prvkov.</w:t>
      </w:r>
    </w:p>
    <w:p w14:paraId="29393D78" w14:textId="4B7CA0E3" w:rsidR="00064AA2" w:rsidRDefault="001509F6" w:rsidP="00064AA2">
      <w:pPr>
        <w:rPr>
          <w:szCs w:val="20"/>
        </w:rPr>
      </w:pPr>
      <w:r w:rsidRPr="00C4355E">
        <w:rPr>
          <w:szCs w:val="20"/>
        </w:rPr>
        <w:t xml:space="preserve">Rozhodnutie </w:t>
      </w:r>
      <w:r w:rsidR="0061290A" w:rsidRPr="00C4355E">
        <w:rPr>
          <w:szCs w:val="20"/>
        </w:rPr>
        <w:t xml:space="preserve">2009/750/ES </w:t>
      </w:r>
      <w:r w:rsidRPr="00C4355E">
        <w:rPr>
          <w:szCs w:val="20"/>
        </w:rPr>
        <w:t xml:space="preserve">sa </w:t>
      </w:r>
      <w:r w:rsidRPr="009F7CDF">
        <w:rPr>
          <w:szCs w:val="20"/>
        </w:rPr>
        <w:t xml:space="preserve">zrušuje s účinnosťou od </w:t>
      </w:r>
      <w:r w:rsidR="001A5B1C" w:rsidRPr="009F7CDF">
        <w:rPr>
          <w:szCs w:val="20"/>
        </w:rPr>
        <w:t>20</w:t>
      </w:r>
      <w:r w:rsidRPr="009F7CDF">
        <w:rPr>
          <w:szCs w:val="20"/>
        </w:rPr>
        <w:t>. októbra 2021</w:t>
      </w:r>
      <w:r w:rsidR="00D620C8" w:rsidRPr="009F7CDF">
        <w:rPr>
          <w:szCs w:val="20"/>
        </w:rPr>
        <w:t xml:space="preserve"> a bude v plnom rozsahu nahradené </w:t>
      </w:r>
      <w:r w:rsidR="0061290A">
        <w:rPr>
          <w:szCs w:val="20"/>
        </w:rPr>
        <w:t>a doplnené nižšie uvedenými predpismi:</w:t>
      </w:r>
    </w:p>
    <w:p w14:paraId="44A5BD7B" w14:textId="0A5A5716" w:rsidR="0061290A" w:rsidRPr="0061290A" w:rsidRDefault="0061290A" w:rsidP="00480B97">
      <w:pPr>
        <w:pStyle w:val="ListParagraph"/>
        <w:numPr>
          <w:ilvl w:val="0"/>
          <w:numId w:val="40"/>
        </w:numPr>
      </w:pPr>
      <w:r w:rsidRPr="0061290A">
        <w:t>DELEGOVANÉ NARIADENIE KOMISIE (EÚ) 2020/203 z 28. novembra 2019 o klasifikácii vozidiel, povinnostiach používateľov Európskej služby elektronického výberu mýta, požiadavkách na zložky interoperability a minimálnych kritériách oprávnenosti pre notifikované orgány,</w:t>
      </w:r>
    </w:p>
    <w:p w14:paraId="70E2938A" w14:textId="7986FAA6" w:rsidR="0061290A" w:rsidRPr="0061290A" w:rsidRDefault="0061290A" w:rsidP="00480B97">
      <w:pPr>
        <w:pStyle w:val="ListParagraph"/>
        <w:numPr>
          <w:ilvl w:val="0"/>
          <w:numId w:val="40"/>
        </w:numPr>
      </w:pPr>
      <w:r w:rsidRPr="0061290A">
        <w:t>VYKONÁVACIE NARIADENIE KOMISIE (EÚ) 2020/204 z 28. novembra 2019 o podrobných povinnostiach poskytovateľov Európskej služby elektronického výberu mýta, minimálnom obsahu prehľadu o oblasti Európskej služby elektronického výberu mýta, elektronických rozhraniach, požiadavkách na zložky interoperability a o zrušení rozhodnutia 2009/750/ES.</w:t>
      </w:r>
    </w:p>
    <w:p w14:paraId="09221AAD" w14:textId="47890CE6" w:rsidR="00E3086F" w:rsidRPr="009F7CDF" w:rsidRDefault="00E3086F" w:rsidP="00E3086F">
      <w:pPr>
        <w:pStyle w:val="Heading2"/>
        <w:rPr>
          <w:sz w:val="20"/>
          <w:szCs w:val="20"/>
        </w:rPr>
      </w:pPr>
      <w:bookmarkStart w:id="33" w:name="_Toc87348705"/>
      <w:r w:rsidRPr="009F7CDF">
        <w:rPr>
          <w:sz w:val="20"/>
          <w:szCs w:val="20"/>
        </w:rPr>
        <w:t>Prevádzka</w:t>
      </w:r>
      <w:bookmarkEnd w:id="33"/>
    </w:p>
    <w:p w14:paraId="6FC0B4E2" w14:textId="04021365" w:rsidR="005C1986" w:rsidRPr="00A6632D" w:rsidRDefault="005C1986" w:rsidP="005C1986">
      <w:pPr>
        <w:rPr>
          <w:szCs w:val="20"/>
        </w:rPr>
      </w:pPr>
      <w:r w:rsidRPr="00C4355E">
        <w:rPr>
          <w:szCs w:val="20"/>
        </w:rPr>
        <w:t>Európska služba elektronického výberu mýta v Slovenskej republike nie je v prevádzke. Výber mýta za užívanie vymedzených úsekov ciest sa uskutočňuje výlučne s použitím „národnej“ palubnej jednotky, ktorá nie je kompatibilná s technickými požiadavkami EETS. Elektronický mýtny systém nie je otvorený pre poskytovateľov EETS a spracovanie dát z interoperabilných palubných jednotiek (OBE). P</w:t>
      </w:r>
      <w:r w:rsidRPr="00A6632D">
        <w:rPr>
          <w:szCs w:val="20"/>
        </w:rPr>
        <w:t>o</w:t>
      </w:r>
      <w:r w:rsidR="00EC339E" w:rsidRPr="00A6632D">
        <w:rPr>
          <w:szCs w:val="20"/>
        </w:rPr>
        <w:t>u</w:t>
      </w:r>
      <w:r w:rsidRPr="00A6632D">
        <w:rPr>
          <w:szCs w:val="20"/>
        </w:rPr>
        <w:t>žitie interoperabilných palubných jednotiek nie je umožnené.</w:t>
      </w:r>
    </w:p>
    <w:p w14:paraId="5EAEAC4F" w14:textId="6785AD3B" w:rsidR="00152C30" w:rsidRPr="009F7CDF" w:rsidRDefault="00152C30" w:rsidP="00A40297">
      <w:pPr>
        <w:pStyle w:val="Heading2"/>
        <w:rPr>
          <w:sz w:val="20"/>
          <w:szCs w:val="20"/>
        </w:rPr>
      </w:pPr>
      <w:bookmarkStart w:id="34" w:name="_Toc87348706"/>
      <w:r w:rsidRPr="009F7CDF">
        <w:rPr>
          <w:sz w:val="20"/>
          <w:szCs w:val="20"/>
        </w:rPr>
        <w:t>Architektúra</w:t>
      </w:r>
      <w:bookmarkEnd w:id="34"/>
    </w:p>
    <w:p w14:paraId="2AAEA016" w14:textId="6771F2E3" w:rsidR="00152C30" w:rsidRPr="00A6632D" w:rsidRDefault="00152C30" w:rsidP="00152C30">
      <w:pPr>
        <w:rPr>
          <w:szCs w:val="20"/>
        </w:rPr>
      </w:pPr>
      <w:r w:rsidRPr="00C4355E">
        <w:rPr>
          <w:szCs w:val="20"/>
        </w:rPr>
        <w:t>Na obrázku nižšie je uvedená jestvujúca aplikačná architektúra elektronického mýtneho systému, ktorý tvorí hlavnú súčasť infraštruktúry Komplexnej služby elektronického výberu mýta, poskytovanej spoločnosťou Skytoll.</w:t>
      </w:r>
    </w:p>
    <w:p w14:paraId="5CE28B5A" w14:textId="77777777" w:rsidR="000D4BB5" w:rsidRDefault="000D4BB5" w:rsidP="00152C30"/>
    <w:p w14:paraId="0C73197F" w14:textId="77777777" w:rsidR="00152C30" w:rsidRDefault="00152C30" w:rsidP="00CC3656">
      <w:pPr>
        <w:keepNext/>
        <w:jc w:val="center"/>
      </w:pPr>
      <w:r>
        <w:rPr>
          <w:noProof/>
          <w:lang w:val="cs-CZ"/>
        </w:rPr>
        <w:drawing>
          <wp:inline distT="0" distB="0" distL="0" distR="0" wp14:anchorId="1D2633A1" wp14:editId="2D6888B3">
            <wp:extent cx="3450866" cy="2147741"/>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rawing_arch_As-Is_v.0.3.gif"/>
                    <pic:cNvPicPr/>
                  </pic:nvPicPr>
                  <pic:blipFill>
                    <a:blip r:embed="rId10">
                      <a:extLst>
                        <a:ext uri="{28A0092B-C50C-407E-A947-70E740481C1C}">
                          <a14:useLocalDpi xmlns:a14="http://schemas.microsoft.com/office/drawing/2010/main" val="0"/>
                        </a:ext>
                      </a:extLst>
                    </a:blip>
                    <a:stretch>
                      <a:fillRect/>
                    </a:stretch>
                  </pic:blipFill>
                  <pic:spPr>
                    <a:xfrm>
                      <a:off x="0" y="0"/>
                      <a:ext cx="3468006" cy="2158409"/>
                    </a:xfrm>
                    <a:prstGeom prst="rect">
                      <a:avLst/>
                    </a:prstGeom>
                  </pic:spPr>
                </pic:pic>
              </a:graphicData>
            </a:graphic>
          </wp:inline>
        </w:drawing>
      </w:r>
    </w:p>
    <w:p w14:paraId="66A99924" w14:textId="54635F24" w:rsidR="00152C30" w:rsidRDefault="00152C30" w:rsidP="00CC3656">
      <w:pPr>
        <w:pStyle w:val="Caption"/>
        <w:jc w:val="center"/>
      </w:pPr>
      <w:r>
        <w:t xml:space="preserve">Obr. </w:t>
      </w:r>
      <w:r>
        <w:fldChar w:fldCharType="begin"/>
      </w:r>
      <w:r>
        <w:instrText xml:space="preserve"> SEQ Obr. \* ARABIC </w:instrText>
      </w:r>
      <w:r>
        <w:fldChar w:fldCharType="separate"/>
      </w:r>
      <w:r w:rsidR="00A86720">
        <w:rPr>
          <w:noProof/>
        </w:rPr>
        <w:t>2</w:t>
      </w:r>
      <w:r>
        <w:fldChar w:fldCharType="end"/>
      </w:r>
      <w:r>
        <w:t xml:space="preserve"> - Aplikačná architektúra, existujúci stav</w:t>
      </w:r>
    </w:p>
    <w:p w14:paraId="0E539EA8" w14:textId="77777777" w:rsidR="00152C30" w:rsidRPr="00152C30" w:rsidRDefault="00152C30" w:rsidP="00152C30"/>
    <w:p w14:paraId="355CD641" w14:textId="35E10FEE" w:rsidR="005C1986" w:rsidRDefault="005C1986">
      <w:pPr>
        <w:spacing w:before="0" w:after="0" w:line="240" w:lineRule="auto"/>
        <w:jc w:val="left"/>
      </w:pPr>
    </w:p>
    <w:p w14:paraId="1952D480" w14:textId="19421351" w:rsidR="00366F12" w:rsidRDefault="00366F12">
      <w:pPr>
        <w:spacing w:before="0" w:after="0" w:line="240" w:lineRule="auto"/>
        <w:jc w:val="left"/>
      </w:pPr>
      <w:r>
        <w:br w:type="page"/>
      </w:r>
    </w:p>
    <w:p w14:paraId="7C662786" w14:textId="7F99D59A" w:rsidR="00E3086F" w:rsidRDefault="00E3086F" w:rsidP="00E3086F">
      <w:pPr>
        <w:pStyle w:val="Heading1"/>
      </w:pPr>
      <w:bookmarkStart w:id="35" w:name="_Toc87348707"/>
      <w:r>
        <w:lastRenderedPageBreak/>
        <w:t>Alternatívne riešenia</w:t>
      </w:r>
      <w:bookmarkEnd w:id="35"/>
    </w:p>
    <w:p w14:paraId="76074739" w14:textId="21693048" w:rsidR="00E3086F" w:rsidRDefault="00E3086F" w:rsidP="00E3086F">
      <w:pPr>
        <w:pStyle w:val="Heading2"/>
      </w:pPr>
      <w:bookmarkStart w:id="36" w:name="_Toc87348708"/>
      <w:r>
        <w:t>Nulový variant</w:t>
      </w:r>
      <w:bookmarkEnd w:id="36"/>
    </w:p>
    <w:p w14:paraId="1B3B222E" w14:textId="197FEBD3" w:rsidR="00523822" w:rsidRDefault="00523822" w:rsidP="00523822">
      <w:r>
        <w:t xml:space="preserve">Nulový variant znamená zachovanie existujúceho stavu </w:t>
      </w:r>
      <w:r w:rsidR="00DB5371">
        <w:t xml:space="preserve">výberu mýta </w:t>
      </w:r>
      <w:r>
        <w:t xml:space="preserve">bez zmeny. Výber mýta za užívanie vymedzených úsekov ciest motorovými vozidlami s hmotnosťou nad 3,5 t a kontrola dodržiavania povinností vodiča a prevádzkovateľa vozidla podľa ZVM sa uskutočňuje prostredníctvom poverenej osoby, ktorá zabezpečuje pre </w:t>
      </w:r>
      <w:r w:rsidR="00B324B6">
        <w:t>Správc</w:t>
      </w:r>
      <w:r>
        <w:t>u výberu mýta komplexnú službu elektronického výberu mýta.</w:t>
      </w:r>
    </w:p>
    <w:p w14:paraId="566E658C" w14:textId="589C784A" w:rsidR="00523822" w:rsidRDefault="00523822" w:rsidP="00523822">
      <w:r>
        <w:t>Vzájomné prepojenie systémov poskytovateľov EETS a </w:t>
      </w:r>
      <w:r w:rsidR="00B324B6">
        <w:t>Správc</w:t>
      </w:r>
      <w:r>
        <w:t xml:space="preserve">u výberu mýta nie je možné, na strane </w:t>
      </w:r>
      <w:r w:rsidR="00B324B6">
        <w:t>Správc</w:t>
      </w:r>
      <w:r>
        <w:t>u výberu mýta neexistuje dátové rozhranie pre výmenu dát</w:t>
      </w:r>
      <w:r w:rsidR="008955D0">
        <w:t>.</w:t>
      </w:r>
      <w:r>
        <w:t xml:space="preserve"> </w:t>
      </w:r>
      <w:r w:rsidR="008955D0">
        <w:t>K</w:t>
      </w:r>
      <w:r>
        <w:t>omplexná služba elektronického výberu mýta nezabezpečuje procesy manažmentu zákazníkov EETS, vyrubeni</w:t>
      </w:r>
      <w:r w:rsidR="00BC2FF7">
        <w:t>a</w:t>
      </w:r>
      <w:r>
        <w:t xml:space="preserve"> mýta </w:t>
      </w:r>
      <w:r w:rsidR="00BC2FF7">
        <w:t xml:space="preserve">na základe dát odovzdaných interoperabilnou palubnou jednotkou, vyúčtovania súhrnnej úhrady mýta poskytovateľom EETS a procesy </w:t>
      </w:r>
      <w:r w:rsidR="00BC2FF7" w:rsidRPr="00BC2FF7">
        <w:t>kontrol</w:t>
      </w:r>
      <w:r w:rsidR="00BC2FF7">
        <w:t>y</w:t>
      </w:r>
      <w:r w:rsidR="00BC2FF7" w:rsidRPr="00BC2FF7">
        <w:t xml:space="preserve"> dodržiavania povinností prevádzkovateľov vozidiel, ktorí majú uzavretú zmluvu s poskytovateľom EETS</w:t>
      </w:r>
      <w:r w:rsidR="00BC2FF7">
        <w:t xml:space="preserve">.  </w:t>
      </w:r>
    </w:p>
    <w:p w14:paraId="6303F87C" w14:textId="05BF953D" w:rsidR="00523822" w:rsidRDefault="00523822" w:rsidP="00523822">
      <w:r>
        <w:t>Použitie interoperabilných palubných jednotiek v rámci jestvujúceho technického riešenia komplexnej služby elektronického výberu mýta nie je možné</w:t>
      </w:r>
      <w:r w:rsidR="00BC2FF7">
        <w:t xml:space="preserve">, infraštruktúra </w:t>
      </w:r>
      <w:r w:rsidR="00B324B6">
        <w:t>Správc</w:t>
      </w:r>
      <w:r w:rsidR="00BC2FF7">
        <w:t>u výberu mýta nedisponuje potrebným rozhraním pre komunikáciu s palubnými jednotkami podľa štandardov interoperability.</w:t>
      </w:r>
    </w:p>
    <w:p w14:paraId="5B6DF4C0" w14:textId="00F05606" w:rsidR="00523822" w:rsidRDefault="00BC2FF7" w:rsidP="00523822">
      <w:r>
        <w:t xml:space="preserve">Správca výberu mýta </w:t>
      </w:r>
      <w:r w:rsidR="00610089">
        <w:t xml:space="preserve">z technických dôvodov nemôže vyhovieť žiadostiam záujemcov o poskytovanie EETS na území Slovenska a nenapĺňa tak požiadavky </w:t>
      </w:r>
      <w:r w:rsidR="00610089" w:rsidRPr="00610089">
        <w:t>§ 17 ods. 1 písm. b) až e)</w:t>
      </w:r>
      <w:r w:rsidR="00610089">
        <w:t xml:space="preserve"> ZVM. </w:t>
      </w:r>
    </w:p>
    <w:p w14:paraId="454BB52F" w14:textId="21CCFD49" w:rsidR="009C30DC" w:rsidRDefault="009C30DC" w:rsidP="00523822">
      <w:r>
        <w:t xml:space="preserve">Nulový variant znamená riziko súdnych sporov s záujemcami o poskytovanie EETS, zvýšené súvisiace výdavky a náklady na odškodnenie </w:t>
      </w:r>
      <w:r w:rsidR="00502D2B">
        <w:t>ako aj</w:t>
      </w:r>
      <w:r>
        <w:t> riziko medializácie a straty dobrého mena Správcu výberu mýta.</w:t>
      </w:r>
    </w:p>
    <w:p w14:paraId="1F20D5EF" w14:textId="12D669DD" w:rsidR="009C30DC" w:rsidRDefault="009C30DC" w:rsidP="00523822">
      <w:r>
        <w:t xml:space="preserve">Nulový variant prehlbuje riziko začatia </w:t>
      </w:r>
      <w:r w:rsidRPr="009C30DC">
        <w:t>formálneho konania voči Slovenskej republike o porušení povinnosti vyplývajúcej z práva EÚ</w:t>
      </w:r>
      <w:r>
        <w:t xml:space="preserve"> (tzv. </w:t>
      </w:r>
      <w:r w:rsidRPr="009F7CDF">
        <w:rPr>
          <w:i/>
        </w:rPr>
        <w:t>infringement</w:t>
      </w:r>
      <w:r>
        <w:t>)</w:t>
      </w:r>
      <w:r w:rsidRPr="009C30DC">
        <w:t>.</w:t>
      </w:r>
      <w:r>
        <w:t xml:space="preserve"> </w:t>
      </w:r>
    </w:p>
    <w:p w14:paraId="46A80692" w14:textId="77777777" w:rsidR="00366F12" w:rsidRDefault="00366F12" w:rsidP="00523822"/>
    <w:p w14:paraId="0DA3C49E" w14:textId="7A361A67" w:rsidR="004A0796" w:rsidRDefault="004A0796" w:rsidP="004A0796">
      <w:pPr>
        <w:pStyle w:val="Heading3"/>
      </w:pPr>
      <w:bookmarkStart w:id="37" w:name="_Toc87348709"/>
      <w:r>
        <w:t>Podiel  poskytovateľov EETS na výber</w:t>
      </w:r>
      <w:r w:rsidR="008915A2">
        <w:t>e</w:t>
      </w:r>
      <w:r>
        <w:t xml:space="preserve"> mýta</w:t>
      </w:r>
      <w:bookmarkEnd w:id="37"/>
    </w:p>
    <w:p w14:paraId="096E77F2" w14:textId="58B060ED" w:rsidR="004A0796" w:rsidRDefault="00727AF2" w:rsidP="00523822">
      <w:r>
        <w:t xml:space="preserve">Poskytovatelia EETS </w:t>
      </w:r>
      <w:r w:rsidR="004A0796">
        <w:t>sa na výbere mýta nepodieľajú.</w:t>
      </w:r>
    </w:p>
    <w:p w14:paraId="36CB4BC3" w14:textId="15BB4949" w:rsidR="004A0796" w:rsidRDefault="004A0796" w:rsidP="00FA6605">
      <w:pPr>
        <w:pStyle w:val="Caption"/>
      </w:pPr>
      <w:bookmarkStart w:id="38" w:name="_Ref71549189"/>
      <w:r>
        <w:t xml:space="preserve">Tab. </w:t>
      </w:r>
      <w:r>
        <w:fldChar w:fldCharType="begin"/>
      </w:r>
      <w:r>
        <w:instrText xml:space="preserve"> SEQ Tab. \* ARABIC </w:instrText>
      </w:r>
      <w:r>
        <w:fldChar w:fldCharType="separate"/>
      </w:r>
      <w:r w:rsidR="00A86720">
        <w:rPr>
          <w:noProof/>
        </w:rPr>
        <w:t>1</w:t>
      </w:r>
      <w:r>
        <w:fldChar w:fldCharType="end"/>
      </w:r>
      <w:bookmarkEnd w:id="38"/>
      <w:r>
        <w:t xml:space="preserve"> - Podiel poskytovateľov EETS na výbere mýta</w:t>
      </w:r>
    </w:p>
    <w:tbl>
      <w:tblPr>
        <w:tblW w:w="92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136"/>
        <w:gridCol w:w="1336"/>
        <w:gridCol w:w="1296"/>
        <w:gridCol w:w="1316"/>
        <w:gridCol w:w="1196"/>
      </w:tblGrid>
      <w:tr w:rsidR="004A0796" w:rsidRPr="00CA62D9" w14:paraId="17C6F107" w14:textId="77777777" w:rsidTr="009F1AE2">
        <w:trPr>
          <w:trHeight w:val="255"/>
        </w:trPr>
        <w:tc>
          <w:tcPr>
            <w:tcW w:w="2977" w:type="dxa"/>
            <w:shd w:val="clear" w:color="000000" w:fill="BDD7EE"/>
            <w:noWrap/>
            <w:vAlign w:val="bottom"/>
            <w:hideMark/>
          </w:tcPr>
          <w:p w14:paraId="3C48CAAA" w14:textId="77777777" w:rsidR="004A0796" w:rsidRPr="00CA62D9" w:rsidRDefault="004A0796" w:rsidP="00446DC8">
            <w:pPr>
              <w:spacing w:before="0" w:after="0" w:line="240" w:lineRule="auto"/>
              <w:jc w:val="left"/>
              <w:rPr>
                <w:rFonts w:ascii="Calibri" w:hAnsi="Calibri"/>
                <w:color w:val="000000"/>
                <w:szCs w:val="20"/>
              </w:rPr>
            </w:pPr>
            <w:r w:rsidRPr="00CA62D9">
              <w:rPr>
                <w:rFonts w:ascii="Calibri" w:hAnsi="Calibri"/>
                <w:color w:val="000000"/>
                <w:szCs w:val="20"/>
              </w:rPr>
              <w:t>Položka</w:t>
            </w:r>
          </w:p>
        </w:tc>
        <w:tc>
          <w:tcPr>
            <w:tcW w:w="1136" w:type="dxa"/>
            <w:shd w:val="clear" w:color="000000" w:fill="BDD7EE"/>
            <w:noWrap/>
            <w:vAlign w:val="bottom"/>
            <w:hideMark/>
          </w:tcPr>
          <w:p w14:paraId="4F93AF9A" w14:textId="77777777" w:rsidR="004A0796" w:rsidRPr="00CA62D9" w:rsidRDefault="004A0796" w:rsidP="00446DC8">
            <w:pPr>
              <w:spacing w:before="0" w:after="0" w:line="240" w:lineRule="auto"/>
              <w:jc w:val="center"/>
              <w:rPr>
                <w:rFonts w:ascii="Calibri" w:hAnsi="Calibri"/>
                <w:color w:val="000000"/>
                <w:szCs w:val="20"/>
              </w:rPr>
            </w:pPr>
            <w:r w:rsidRPr="00CA62D9">
              <w:rPr>
                <w:rFonts w:ascii="Calibri" w:hAnsi="Calibri"/>
                <w:color w:val="000000"/>
                <w:szCs w:val="20"/>
              </w:rPr>
              <w:t>2022</w:t>
            </w:r>
          </w:p>
        </w:tc>
        <w:tc>
          <w:tcPr>
            <w:tcW w:w="1336" w:type="dxa"/>
            <w:shd w:val="clear" w:color="000000" w:fill="BDD7EE"/>
            <w:noWrap/>
            <w:vAlign w:val="bottom"/>
            <w:hideMark/>
          </w:tcPr>
          <w:p w14:paraId="6FC48A99" w14:textId="77777777" w:rsidR="004A0796" w:rsidRPr="00CA62D9" w:rsidRDefault="004A0796" w:rsidP="00446DC8">
            <w:pPr>
              <w:spacing w:before="0" w:after="0" w:line="240" w:lineRule="auto"/>
              <w:jc w:val="center"/>
              <w:rPr>
                <w:rFonts w:ascii="Calibri" w:hAnsi="Calibri"/>
                <w:color w:val="000000"/>
                <w:szCs w:val="20"/>
              </w:rPr>
            </w:pPr>
            <w:r w:rsidRPr="00CA62D9">
              <w:rPr>
                <w:rFonts w:ascii="Calibri" w:hAnsi="Calibri"/>
                <w:color w:val="000000"/>
                <w:szCs w:val="20"/>
              </w:rPr>
              <w:t>2023</w:t>
            </w:r>
          </w:p>
        </w:tc>
        <w:tc>
          <w:tcPr>
            <w:tcW w:w="1296" w:type="dxa"/>
            <w:shd w:val="clear" w:color="000000" w:fill="BDD7EE"/>
            <w:noWrap/>
            <w:vAlign w:val="bottom"/>
            <w:hideMark/>
          </w:tcPr>
          <w:p w14:paraId="6205FFBF" w14:textId="77777777" w:rsidR="004A0796" w:rsidRPr="00CA62D9" w:rsidRDefault="004A0796" w:rsidP="00446DC8">
            <w:pPr>
              <w:spacing w:before="0" w:after="0" w:line="240" w:lineRule="auto"/>
              <w:jc w:val="center"/>
              <w:rPr>
                <w:rFonts w:ascii="Calibri" w:hAnsi="Calibri"/>
                <w:color w:val="000000"/>
                <w:szCs w:val="20"/>
              </w:rPr>
            </w:pPr>
            <w:r w:rsidRPr="00CA62D9">
              <w:rPr>
                <w:rFonts w:ascii="Calibri" w:hAnsi="Calibri"/>
                <w:color w:val="000000"/>
                <w:szCs w:val="20"/>
              </w:rPr>
              <w:t>2024</w:t>
            </w:r>
          </w:p>
        </w:tc>
        <w:tc>
          <w:tcPr>
            <w:tcW w:w="1316" w:type="dxa"/>
            <w:shd w:val="clear" w:color="000000" w:fill="BDD7EE"/>
            <w:noWrap/>
            <w:vAlign w:val="bottom"/>
            <w:hideMark/>
          </w:tcPr>
          <w:p w14:paraId="1B313F72" w14:textId="77777777" w:rsidR="004A0796" w:rsidRPr="00CA62D9" w:rsidRDefault="004A0796" w:rsidP="00446DC8">
            <w:pPr>
              <w:spacing w:before="0" w:after="0" w:line="240" w:lineRule="auto"/>
              <w:jc w:val="center"/>
              <w:rPr>
                <w:rFonts w:ascii="Calibri" w:hAnsi="Calibri"/>
                <w:color w:val="000000"/>
                <w:szCs w:val="20"/>
              </w:rPr>
            </w:pPr>
            <w:r w:rsidRPr="00CA62D9">
              <w:rPr>
                <w:rFonts w:ascii="Calibri" w:hAnsi="Calibri"/>
                <w:color w:val="000000"/>
                <w:szCs w:val="20"/>
              </w:rPr>
              <w:t>2025</w:t>
            </w:r>
          </w:p>
        </w:tc>
        <w:tc>
          <w:tcPr>
            <w:tcW w:w="1196" w:type="dxa"/>
            <w:shd w:val="clear" w:color="000000" w:fill="BDD7EE"/>
            <w:noWrap/>
            <w:vAlign w:val="bottom"/>
            <w:hideMark/>
          </w:tcPr>
          <w:p w14:paraId="4B5BB1F5" w14:textId="77777777" w:rsidR="004A0796" w:rsidRPr="00CA62D9" w:rsidRDefault="004A0796" w:rsidP="00446DC8">
            <w:pPr>
              <w:spacing w:before="0" w:after="0" w:line="240" w:lineRule="auto"/>
              <w:jc w:val="center"/>
              <w:rPr>
                <w:rFonts w:ascii="Calibri" w:hAnsi="Calibri"/>
                <w:color w:val="000000"/>
                <w:szCs w:val="20"/>
              </w:rPr>
            </w:pPr>
            <w:r w:rsidRPr="00CA62D9">
              <w:rPr>
                <w:rFonts w:ascii="Calibri" w:hAnsi="Calibri"/>
                <w:color w:val="000000"/>
                <w:szCs w:val="20"/>
              </w:rPr>
              <w:t>2026</w:t>
            </w:r>
          </w:p>
        </w:tc>
      </w:tr>
      <w:tr w:rsidR="004A0796" w:rsidRPr="00CA62D9" w14:paraId="2DA95E7B" w14:textId="77777777" w:rsidTr="009F1AE2">
        <w:trPr>
          <w:trHeight w:val="255"/>
        </w:trPr>
        <w:tc>
          <w:tcPr>
            <w:tcW w:w="2977" w:type="dxa"/>
            <w:shd w:val="clear" w:color="000000" w:fill="DDEBF7"/>
            <w:noWrap/>
            <w:vAlign w:val="bottom"/>
            <w:hideMark/>
          </w:tcPr>
          <w:p w14:paraId="46195808" w14:textId="095536AE" w:rsidR="004A0796" w:rsidRPr="00CA62D9" w:rsidRDefault="004A0796" w:rsidP="004A0796">
            <w:pPr>
              <w:spacing w:before="0" w:after="0" w:line="240" w:lineRule="auto"/>
              <w:jc w:val="left"/>
              <w:rPr>
                <w:rFonts w:ascii="Calibri" w:hAnsi="Calibri"/>
                <w:color w:val="000000"/>
                <w:szCs w:val="20"/>
              </w:rPr>
            </w:pPr>
            <w:r>
              <w:rPr>
                <w:rFonts w:ascii="Calibri" w:hAnsi="Calibri"/>
                <w:color w:val="000000"/>
                <w:szCs w:val="20"/>
              </w:rPr>
              <w:t>Podiel poskytovateľov EETS</w:t>
            </w:r>
          </w:p>
        </w:tc>
        <w:tc>
          <w:tcPr>
            <w:tcW w:w="1136" w:type="dxa"/>
            <w:shd w:val="clear" w:color="auto" w:fill="auto"/>
            <w:noWrap/>
            <w:vAlign w:val="bottom"/>
          </w:tcPr>
          <w:p w14:paraId="5553177A" w14:textId="41BA324B"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0 %</w:t>
            </w:r>
          </w:p>
        </w:tc>
        <w:tc>
          <w:tcPr>
            <w:tcW w:w="1336" w:type="dxa"/>
            <w:shd w:val="clear" w:color="auto" w:fill="auto"/>
            <w:noWrap/>
            <w:vAlign w:val="bottom"/>
          </w:tcPr>
          <w:p w14:paraId="6FB884B9" w14:textId="55D1BED6"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0 %</w:t>
            </w:r>
          </w:p>
        </w:tc>
        <w:tc>
          <w:tcPr>
            <w:tcW w:w="1296" w:type="dxa"/>
            <w:shd w:val="clear" w:color="auto" w:fill="auto"/>
            <w:noWrap/>
            <w:vAlign w:val="bottom"/>
          </w:tcPr>
          <w:p w14:paraId="14C8B282" w14:textId="1C1C171D"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0 %</w:t>
            </w:r>
          </w:p>
        </w:tc>
        <w:tc>
          <w:tcPr>
            <w:tcW w:w="1316" w:type="dxa"/>
            <w:shd w:val="clear" w:color="auto" w:fill="auto"/>
            <w:noWrap/>
            <w:vAlign w:val="bottom"/>
          </w:tcPr>
          <w:p w14:paraId="7274DE18" w14:textId="37FEA021"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0 %</w:t>
            </w:r>
          </w:p>
        </w:tc>
        <w:tc>
          <w:tcPr>
            <w:tcW w:w="1196" w:type="dxa"/>
            <w:shd w:val="clear" w:color="auto" w:fill="auto"/>
            <w:noWrap/>
            <w:vAlign w:val="bottom"/>
          </w:tcPr>
          <w:p w14:paraId="087939C1" w14:textId="3CCD394E"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0 %</w:t>
            </w:r>
          </w:p>
        </w:tc>
      </w:tr>
      <w:tr w:rsidR="004A0796" w:rsidRPr="00CA62D9" w14:paraId="0889A063" w14:textId="77777777" w:rsidTr="009F1AE2">
        <w:trPr>
          <w:trHeight w:val="255"/>
        </w:trPr>
        <w:tc>
          <w:tcPr>
            <w:tcW w:w="2977" w:type="dxa"/>
            <w:shd w:val="clear" w:color="000000" w:fill="DDEBF7"/>
            <w:noWrap/>
            <w:vAlign w:val="bottom"/>
            <w:hideMark/>
          </w:tcPr>
          <w:p w14:paraId="559A6575" w14:textId="0BCB2054" w:rsidR="004A0796" w:rsidRPr="00CA62D9" w:rsidRDefault="004A0796" w:rsidP="004A0796">
            <w:pPr>
              <w:spacing w:before="0" w:after="0" w:line="240" w:lineRule="auto"/>
              <w:jc w:val="left"/>
              <w:rPr>
                <w:rFonts w:ascii="Calibri" w:hAnsi="Calibri"/>
                <w:color w:val="000000"/>
                <w:szCs w:val="20"/>
              </w:rPr>
            </w:pPr>
            <w:r>
              <w:rPr>
                <w:rFonts w:ascii="Calibri" w:hAnsi="Calibri"/>
                <w:color w:val="000000"/>
                <w:szCs w:val="20"/>
              </w:rPr>
              <w:t>Podiel SkyTollu na výbere mýta</w:t>
            </w:r>
          </w:p>
        </w:tc>
        <w:tc>
          <w:tcPr>
            <w:tcW w:w="1136" w:type="dxa"/>
            <w:shd w:val="clear" w:color="auto" w:fill="auto"/>
            <w:noWrap/>
            <w:vAlign w:val="bottom"/>
          </w:tcPr>
          <w:p w14:paraId="1F330C01" w14:textId="1F1E28D4"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100 %</w:t>
            </w:r>
          </w:p>
        </w:tc>
        <w:tc>
          <w:tcPr>
            <w:tcW w:w="1336" w:type="dxa"/>
            <w:shd w:val="clear" w:color="auto" w:fill="auto"/>
            <w:noWrap/>
            <w:vAlign w:val="bottom"/>
          </w:tcPr>
          <w:p w14:paraId="04603552" w14:textId="6A9309A2"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100 %</w:t>
            </w:r>
          </w:p>
        </w:tc>
        <w:tc>
          <w:tcPr>
            <w:tcW w:w="1296" w:type="dxa"/>
            <w:shd w:val="clear" w:color="auto" w:fill="auto"/>
            <w:noWrap/>
            <w:vAlign w:val="bottom"/>
          </w:tcPr>
          <w:p w14:paraId="79EA2BAE" w14:textId="7CAF6C7A"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100 %</w:t>
            </w:r>
          </w:p>
        </w:tc>
        <w:tc>
          <w:tcPr>
            <w:tcW w:w="1316" w:type="dxa"/>
            <w:shd w:val="clear" w:color="auto" w:fill="auto"/>
            <w:noWrap/>
            <w:vAlign w:val="bottom"/>
          </w:tcPr>
          <w:p w14:paraId="279AA873" w14:textId="3E51EFE0"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100 %</w:t>
            </w:r>
          </w:p>
        </w:tc>
        <w:tc>
          <w:tcPr>
            <w:tcW w:w="1196" w:type="dxa"/>
            <w:shd w:val="clear" w:color="auto" w:fill="auto"/>
            <w:noWrap/>
            <w:vAlign w:val="bottom"/>
          </w:tcPr>
          <w:p w14:paraId="733D0F87" w14:textId="281C4B64" w:rsidR="004A0796" w:rsidRPr="00CA62D9" w:rsidRDefault="004A0796" w:rsidP="004A0796">
            <w:pPr>
              <w:spacing w:before="0" w:after="0" w:line="240" w:lineRule="auto"/>
              <w:jc w:val="right"/>
              <w:rPr>
                <w:rFonts w:ascii="Calibri" w:hAnsi="Calibri"/>
                <w:color w:val="000000"/>
                <w:szCs w:val="20"/>
              </w:rPr>
            </w:pPr>
            <w:r>
              <w:rPr>
                <w:rFonts w:ascii="Calibri" w:hAnsi="Calibri"/>
                <w:color w:val="000000"/>
                <w:szCs w:val="20"/>
              </w:rPr>
              <w:t>100 %</w:t>
            </w:r>
          </w:p>
        </w:tc>
      </w:tr>
    </w:tbl>
    <w:p w14:paraId="66155C40" w14:textId="1160E550" w:rsidR="004A0796" w:rsidRDefault="00A83B15" w:rsidP="00523822">
      <w:pPr>
        <w:rPr>
          <w:i/>
          <w:sz w:val="16"/>
        </w:rPr>
      </w:pPr>
      <w:r w:rsidRPr="00A83B15">
        <w:rPr>
          <w:i/>
          <w:sz w:val="16"/>
        </w:rPr>
        <w:t>Zdroj: vlastný návrh parametrov variantu 0</w:t>
      </w:r>
    </w:p>
    <w:p w14:paraId="4D49E489" w14:textId="77777777" w:rsidR="00366F12" w:rsidRPr="00A83B15" w:rsidRDefault="00366F12" w:rsidP="00523822">
      <w:pPr>
        <w:rPr>
          <w:i/>
          <w:sz w:val="16"/>
        </w:rPr>
      </w:pPr>
    </w:p>
    <w:p w14:paraId="6AA9204E" w14:textId="77777777" w:rsidR="009F1AE2" w:rsidRDefault="009F1AE2" w:rsidP="009F1AE2">
      <w:pPr>
        <w:pStyle w:val="Heading3"/>
      </w:pPr>
      <w:bookmarkStart w:id="39" w:name="_Ref73105194"/>
      <w:bookmarkStart w:id="40" w:name="_Toc87348710"/>
      <w:r>
        <w:t>Náklady</w:t>
      </w:r>
      <w:bookmarkEnd w:id="39"/>
      <w:bookmarkEnd w:id="40"/>
    </w:p>
    <w:p w14:paraId="7549491E" w14:textId="7723B8A0" w:rsidR="009F1AE2" w:rsidRDefault="009F1AE2" w:rsidP="009F1AE2">
      <w:r>
        <w:t xml:space="preserve">Náklady nulového variantu zahŕňajú odmeny spoločnosti SkyToll za služby poskytované na základe Zmluvy </w:t>
      </w:r>
      <w:r w:rsidRPr="00E3171B">
        <w:t>o poskytovaní komplexnej služby elektronického výberu mýta uzatvorenej medzi Národnou diaľničnou spoločnosťou, a.</w:t>
      </w:r>
      <w:r>
        <w:t> </w:t>
      </w:r>
      <w:r w:rsidRPr="00E3171B">
        <w:t>s. so sídlom Dúbravská cesta 14, 841 04 Bratislava a spoločnosťou SkyToll, a. s., Westend Square, Lamačská cesta 3/B, 841 04 Bratislava dňa 13.1.2009</w:t>
      </w:r>
      <w:r>
        <w:t>, (ďalej len „</w:t>
      </w:r>
      <w:r w:rsidRPr="006C70A1">
        <w:rPr>
          <w:b/>
        </w:rPr>
        <w:t>Zmluva ETC</w:t>
      </w:r>
      <w:r>
        <w:t>“), odmeny za služby clearingového centra a platobnej infraštruktúry pre úhrady prostredníctvom palivových a bankových kariet, a</w:t>
      </w:r>
      <w:r w:rsidR="00205EAE">
        <w:t> náklady za iné služby (technická pomoc, projektové riadenie)</w:t>
      </w:r>
      <w:r>
        <w:t xml:space="preserve">. </w:t>
      </w:r>
    </w:p>
    <w:p w14:paraId="16E739FA" w14:textId="0D7A14AB" w:rsidR="009F1AE2" w:rsidRDefault="009F1AE2" w:rsidP="009F1AE2">
      <w:r>
        <w:t xml:space="preserve">Celkové náklady nulového variantu sú </w:t>
      </w:r>
      <w:r w:rsidR="00CC3656">
        <w:t>sumarizované</w:t>
      </w:r>
      <w:r>
        <w:t xml:space="preserve"> v tabuľke nižšie, všetky nákladové položky sú </w:t>
      </w:r>
      <w:r w:rsidR="00CC3656">
        <w:t>uvedené v cenovej úrovni</w:t>
      </w:r>
      <w:r>
        <w:t xml:space="preserve"> roka 2021.</w:t>
      </w:r>
    </w:p>
    <w:p w14:paraId="1F77A037" w14:textId="14DAA233" w:rsidR="00366F12" w:rsidRDefault="00366F12" w:rsidP="009F1AE2"/>
    <w:p w14:paraId="228D3B85" w14:textId="6C01F7A2" w:rsidR="00366F12" w:rsidRDefault="00366F12" w:rsidP="009F1AE2"/>
    <w:p w14:paraId="2285FE9C" w14:textId="77777777" w:rsidR="00366F12" w:rsidRDefault="00366F12" w:rsidP="009F1AE2"/>
    <w:p w14:paraId="79095A9B" w14:textId="328D712C" w:rsidR="009A62DB" w:rsidRDefault="009A62DB" w:rsidP="00FA6605">
      <w:pPr>
        <w:pStyle w:val="Caption"/>
      </w:pPr>
      <w:r>
        <w:lastRenderedPageBreak/>
        <w:t xml:space="preserve">Tab. </w:t>
      </w:r>
      <w:r>
        <w:fldChar w:fldCharType="begin"/>
      </w:r>
      <w:r>
        <w:instrText xml:space="preserve"> SEQ Tab. \* ARABIC </w:instrText>
      </w:r>
      <w:r>
        <w:fldChar w:fldCharType="separate"/>
      </w:r>
      <w:r w:rsidR="00A86720">
        <w:rPr>
          <w:noProof/>
        </w:rPr>
        <w:t>2</w:t>
      </w:r>
      <w:r>
        <w:fldChar w:fldCharType="end"/>
      </w:r>
      <w:r>
        <w:t xml:space="preserve"> - Náklady, variant 0</w:t>
      </w:r>
    </w:p>
    <w:tbl>
      <w:tblPr>
        <w:tblW w:w="91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2977"/>
        <w:gridCol w:w="1242"/>
        <w:gridCol w:w="1243"/>
        <w:gridCol w:w="1242"/>
        <w:gridCol w:w="1243"/>
        <w:gridCol w:w="1243"/>
      </w:tblGrid>
      <w:tr w:rsidR="00CA62D9" w:rsidRPr="00CA62D9" w14:paraId="30119B31" w14:textId="77777777" w:rsidTr="009F1AE2">
        <w:trPr>
          <w:trHeight w:val="255"/>
        </w:trPr>
        <w:tc>
          <w:tcPr>
            <w:tcW w:w="2977" w:type="dxa"/>
            <w:shd w:val="clear" w:color="000000" w:fill="BDD7EE"/>
            <w:noWrap/>
            <w:vAlign w:val="bottom"/>
            <w:hideMark/>
          </w:tcPr>
          <w:p w14:paraId="3A4DE57F" w14:textId="1E0D6119" w:rsidR="00CA62D9" w:rsidRPr="00CA62D9" w:rsidRDefault="009F1AE2" w:rsidP="00CA62D9">
            <w:pPr>
              <w:spacing w:before="0" w:after="0" w:line="240" w:lineRule="auto"/>
              <w:jc w:val="left"/>
              <w:rPr>
                <w:rFonts w:ascii="Calibri" w:hAnsi="Calibri"/>
                <w:color w:val="000000"/>
                <w:szCs w:val="20"/>
              </w:rPr>
            </w:pPr>
            <w:r>
              <w:rPr>
                <w:rFonts w:ascii="Calibri" w:hAnsi="Calibri"/>
                <w:color w:val="000000"/>
                <w:szCs w:val="20"/>
              </w:rPr>
              <w:t>Údaje v EUR</w:t>
            </w:r>
          </w:p>
        </w:tc>
        <w:tc>
          <w:tcPr>
            <w:tcW w:w="1242" w:type="dxa"/>
            <w:shd w:val="clear" w:color="000000" w:fill="BDD7EE"/>
            <w:noWrap/>
            <w:vAlign w:val="bottom"/>
            <w:hideMark/>
          </w:tcPr>
          <w:p w14:paraId="4DA00ADA" w14:textId="77777777" w:rsidR="00CA62D9" w:rsidRPr="00CA62D9" w:rsidRDefault="00CA62D9" w:rsidP="00CA62D9">
            <w:pPr>
              <w:spacing w:before="0" w:after="0" w:line="240" w:lineRule="auto"/>
              <w:jc w:val="center"/>
              <w:rPr>
                <w:rFonts w:ascii="Calibri" w:hAnsi="Calibri"/>
                <w:color w:val="000000"/>
                <w:szCs w:val="20"/>
              </w:rPr>
            </w:pPr>
            <w:r w:rsidRPr="00CA62D9">
              <w:rPr>
                <w:rFonts w:ascii="Calibri" w:hAnsi="Calibri"/>
                <w:color w:val="000000"/>
                <w:szCs w:val="20"/>
              </w:rPr>
              <w:t>2022</w:t>
            </w:r>
          </w:p>
        </w:tc>
        <w:tc>
          <w:tcPr>
            <w:tcW w:w="1243" w:type="dxa"/>
            <w:shd w:val="clear" w:color="000000" w:fill="BDD7EE"/>
            <w:noWrap/>
            <w:vAlign w:val="bottom"/>
            <w:hideMark/>
          </w:tcPr>
          <w:p w14:paraId="0FCD253D" w14:textId="77777777" w:rsidR="00CA62D9" w:rsidRPr="00CA62D9" w:rsidRDefault="00CA62D9" w:rsidP="00CA62D9">
            <w:pPr>
              <w:spacing w:before="0" w:after="0" w:line="240" w:lineRule="auto"/>
              <w:jc w:val="center"/>
              <w:rPr>
                <w:rFonts w:ascii="Calibri" w:hAnsi="Calibri"/>
                <w:color w:val="000000"/>
                <w:szCs w:val="20"/>
              </w:rPr>
            </w:pPr>
            <w:r w:rsidRPr="00CA62D9">
              <w:rPr>
                <w:rFonts w:ascii="Calibri" w:hAnsi="Calibri"/>
                <w:color w:val="000000"/>
                <w:szCs w:val="20"/>
              </w:rPr>
              <w:t>2023</w:t>
            </w:r>
          </w:p>
        </w:tc>
        <w:tc>
          <w:tcPr>
            <w:tcW w:w="1242" w:type="dxa"/>
            <w:shd w:val="clear" w:color="000000" w:fill="BDD7EE"/>
            <w:noWrap/>
            <w:vAlign w:val="bottom"/>
            <w:hideMark/>
          </w:tcPr>
          <w:p w14:paraId="4C1A590B" w14:textId="77777777" w:rsidR="00CA62D9" w:rsidRPr="00CA62D9" w:rsidRDefault="00CA62D9" w:rsidP="00CA62D9">
            <w:pPr>
              <w:spacing w:before="0" w:after="0" w:line="240" w:lineRule="auto"/>
              <w:jc w:val="center"/>
              <w:rPr>
                <w:rFonts w:ascii="Calibri" w:hAnsi="Calibri"/>
                <w:color w:val="000000"/>
                <w:szCs w:val="20"/>
              </w:rPr>
            </w:pPr>
            <w:r w:rsidRPr="00CA62D9">
              <w:rPr>
                <w:rFonts w:ascii="Calibri" w:hAnsi="Calibri"/>
                <w:color w:val="000000"/>
                <w:szCs w:val="20"/>
              </w:rPr>
              <w:t>2024</w:t>
            </w:r>
          </w:p>
        </w:tc>
        <w:tc>
          <w:tcPr>
            <w:tcW w:w="1243" w:type="dxa"/>
            <w:shd w:val="clear" w:color="000000" w:fill="BDD7EE"/>
            <w:noWrap/>
            <w:vAlign w:val="bottom"/>
            <w:hideMark/>
          </w:tcPr>
          <w:p w14:paraId="29D6EA91" w14:textId="77777777" w:rsidR="00CA62D9" w:rsidRPr="00CA62D9" w:rsidRDefault="00CA62D9" w:rsidP="00CA62D9">
            <w:pPr>
              <w:spacing w:before="0" w:after="0" w:line="240" w:lineRule="auto"/>
              <w:jc w:val="center"/>
              <w:rPr>
                <w:rFonts w:ascii="Calibri" w:hAnsi="Calibri"/>
                <w:color w:val="000000"/>
                <w:szCs w:val="20"/>
              </w:rPr>
            </w:pPr>
            <w:r w:rsidRPr="00CA62D9">
              <w:rPr>
                <w:rFonts w:ascii="Calibri" w:hAnsi="Calibri"/>
                <w:color w:val="000000"/>
                <w:szCs w:val="20"/>
              </w:rPr>
              <w:t>2025</w:t>
            </w:r>
          </w:p>
        </w:tc>
        <w:tc>
          <w:tcPr>
            <w:tcW w:w="1243" w:type="dxa"/>
            <w:shd w:val="clear" w:color="000000" w:fill="BDD7EE"/>
            <w:noWrap/>
            <w:vAlign w:val="bottom"/>
            <w:hideMark/>
          </w:tcPr>
          <w:p w14:paraId="34F181E9" w14:textId="77777777" w:rsidR="00CA62D9" w:rsidRPr="00CA62D9" w:rsidRDefault="00CA62D9" w:rsidP="00CA62D9">
            <w:pPr>
              <w:spacing w:before="0" w:after="0" w:line="240" w:lineRule="auto"/>
              <w:jc w:val="center"/>
              <w:rPr>
                <w:rFonts w:ascii="Calibri" w:hAnsi="Calibri"/>
                <w:color w:val="000000"/>
                <w:szCs w:val="20"/>
              </w:rPr>
            </w:pPr>
            <w:r w:rsidRPr="00CA62D9">
              <w:rPr>
                <w:rFonts w:ascii="Calibri" w:hAnsi="Calibri"/>
                <w:color w:val="000000"/>
                <w:szCs w:val="20"/>
              </w:rPr>
              <w:t>2026</w:t>
            </w:r>
          </w:p>
        </w:tc>
      </w:tr>
      <w:tr w:rsidR="00CC3656" w:rsidRPr="00CA62D9" w14:paraId="78EE062D" w14:textId="77777777" w:rsidTr="005A7D49">
        <w:trPr>
          <w:trHeight w:val="255"/>
        </w:trPr>
        <w:tc>
          <w:tcPr>
            <w:tcW w:w="2977" w:type="dxa"/>
            <w:shd w:val="clear" w:color="000000" w:fill="DDEBF7"/>
            <w:noWrap/>
            <w:vAlign w:val="bottom"/>
            <w:hideMark/>
          </w:tcPr>
          <w:p w14:paraId="2E7B6E95" w14:textId="6748BB6D" w:rsidR="00CC3656" w:rsidRPr="00CA62D9" w:rsidRDefault="00CC3656" w:rsidP="00CC3656">
            <w:pPr>
              <w:spacing w:before="0" w:after="0" w:line="240" w:lineRule="auto"/>
              <w:jc w:val="left"/>
              <w:rPr>
                <w:rFonts w:ascii="Calibri" w:hAnsi="Calibri"/>
                <w:color w:val="000000"/>
                <w:szCs w:val="20"/>
              </w:rPr>
            </w:pPr>
            <w:r>
              <w:rPr>
                <w:rFonts w:ascii="Calibri" w:hAnsi="Calibri"/>
                <w:color w:val="000000"/>
                <w:szCs w:val="20"/>
              </w:rPr>
              <w:t>Komplexná služba</w:t>
            </w:r>
            <w:r w:rsidRPr="00CA62D9">
              <w:rPr>
                <w:rFonts w:ascii="Calibri" w:hAnsi="Calibri"/>
                <w:color w:val="000000"/>
                <w:szCs w:val="20"/>
              </w:rPr>
              <w:t xml:space="preserve"> ETC</w:t>
            </w:r>
          </w:p>
        </w:tc>
        <w:tc>
          <w:tcPr>
            <w:tcW w:w="1242" w:type="dxa"/>
            <w:shd w:val="clear" w:color="auto" w:fill="auto"/>
            <w:noWrap/>
            <w:vAlign w:val="center"/>
            <w:hideMark/>
          </w:tcPr>
          <w:p w14:paraId="4CFF90A9" w14:textId="5BC58FBD" w:rsidR="00CC3656" w:rsidRPr="00CA62D9" w:rsidRDefault="00CC3656" w:rsidP="00CC3656">
            <w:pPr>
              <w:spacing w:before="0" w:after="0" w:line="240" w:lineRule="auto"/>
              <w:jc w:val="right"/>
              <w:rPr>
                <w:rFonts w:ascii="Calibri" w:hAnsi="Calibri"/>
                <w:color w:val="000000"/>
                <w:szCs w:val="20"/>
              </w:rPr>
            </w:pPr>
            <w:r>
              <w:rPr>
                <w:rFonts w:ascii="Calibri" w:hAnsi="Calibri" w:cs="Calibri"/>
                <w:color w:val="000000"/>
                <w:szCs w:val="20"/>
              </w:rPr>
              <w:t>60 946 066</w:t>
            </w:r>
          </w:p>
        </w:tc>
        <w:tc>
          <w:tcPr>
            <w:tcW w:w="1243" w:type="dxa"/>
            <w:shd w:val="clear" w:color="auto" w:fill="auto"/>
            <w:noWrap/>
            <w:vAlign w:val="center"/>
            <w:hideMark/>
          </w:tcPr>
          <w:p w14:paraId="035D8062" w14:textId="33B1309B" w:rsidR="00CC3656" w:rsidRPr="00CA62D9" w:rsidRDefault="00CC3656" w:rsidP="00CC3656">
            <w:pPr>
              <w:spacing w:before="0" w:after="0" w:line="240" w:lineRule="auto"/>
              <w:jc w:val="right"/>
              <w:rPr>
                <w:rFonts w:ascii="Calibri" w:hAnsi="Calibri"/>
                <w:color w:val="000000"/>
                <w:szCs w:val="20"/>
              </w:rPr>
            </w:pPr>
            <w:r>
              <w:rPr>
                <w:rFonts w:ascii="Calibri" w:hAnsi="Calibri" w:cs="Calibri"/>
                <w:color w:val="000000"/>
                <w:szCs w:val="20"/>
              </w:rPr>
              <w:t>60 134 487</w:t>
            </w:r>
          </w:p>
        </w:tc>
        <w:tc>
          <w:tcPr>
            <w:tcW w:w="1242" w:type="dxa"/>
            <w:shd w:val="clear" w:color="auto" w:fill="auto"/>
            <w:noWrap/>
            <w:vAlign w:val="center"/>
            <w:hideMark/>
          </w:tcPr>
          <w:p w14:paraId="3512F30A" w14:textId="08A05863" w:rsidR="00CC3656" w:rsidRPr="00CA62D9" w:rsidRDefault="00CC3656" w:rsidP="00CC3656">
            <w:pPr>
              <w:spacing w:before="0" w:after="0" w:line="240" w:lineRule="auto"/>
              <w:jc w:val="right"/>
              <w:rPr>
                <w:rFonts w:ascii="Calibri" w:hAnsi="Calibri"/>
                <w:color w:val="000000"/>
                <w:szCs w:val="20"/>
              </w:rPr>
            </w:pPr>
            <w:r>
              <w:rPr>
                <w:rFonts w:ascii="Calibri" w:hAnsi="Calibri" w:cs="Calibri"/>
                <w:color w:val="000000"/>
                <w:szCs w:val="20"/>
              </w:rPr>
              <w:t>59 898 570</w:t>
            </w:r>
          </w:p>
        </w:tc>
        <w:tc>
          <w:tcPr>
            <w:tcW w:w="1243" w:type="dxa"/>
            <w:shd w:val="clear" w:color="auto" w:fill="auto"/>
            <w:noWrap/>
            <w:vAlign w:val="center"/>
            <w:hideMark/>
          </w:tcPr>
          <w:p w14:paraId="33028C64" w14:textId="57D34EEC" w:rsidR="00CC3656" w:rsidRPr="00CA62D9" w:rsidRDefault="00CC3656" w:rsidP="00CC3656">
            <w:pPr>
              <w:spacing w:before="0" w:after="0" w:line="240" w:lineRule="auto"/>
              <w:jc w:val="right"/>
              <w:rPr>
                <w:rFonts w:ascii="Calibri" w:hAnsi="Calibri"/>
                <w:color w:val="000000"/>
                <w:szCs w:val="20"/>
              </w:rPr>
            </w:pPr>
            <w:r>
              <w:rPr>
                <w:rFonts w:ascii="Calibri" w:hAnsi="Calibri" w:cs="Calibri"/>
                <w:color w:val="000000"/>
                <w:szCs w:val="20"/>
              </w:rPr>
              <w:t>60 379 381</w:t>
            </w:r>
          </w:p>
        </w:tc>
        <w:tc>
          <w:tcPr>
            <w:tcW w:w="1243" w:type="dxa"/>
            <w:shd w:val="clear" w:color="auto" w:fill="auto"/>
            <w:noWrap/>
            <w:vAlign w:val="center"/>
            <w:hideMark/>
          </w:tcPr>
          <w:p w14:paraId="03D0B64B" w14:textId="4CE45FD7" w:rsidR="00CC3656" w:rsidRPr="00CA62D9" w:rsidRDefault="00CC3656" w:rsidP="00CC3656">
            <w:pPr>
              <w:spacing w:before="0" w:after="0" w:line="240" w:lineRule="auto"/>
              <w:jc w:val="right"/>
              <w:rPr>
                <w:rFonts w:ascii="Calibri" w:hAnsi="Calibri"/>
                <w:color w:val="000000"/>
                <w:szCs w:val="20"/>
              </w:rPr>
            </w:pPr>
            <w:r>
              <w:rPr>
                <w:rFonts w:ascii="Calibri" w:hAnsi="Calibri" w:cs="Calibri"/>
                <w:color w:val="000000"/>
                <w:szCs w:val="20"/>
              </w:rPr>
              <w:t>60 872 211</w:t>
            </w:r>
          </w:p>
        </w:tc>
      </w:tr>
      <w:tr w:rsidR="002B0E55" w:rsidRPr="00CA62D9" w14:paraId="4BAE1324" w14:textId="77777777" w:rsidTr="005A7D49">
        <w:trPr>
          <w:trHeight w:val="255"/>
        </w:trPr>
        <w:tc>
          <w:tcPr>
            <w:tcW w:w="2977" w:type="dxa"/>
            <w:shd w:val="clear" w:color="000000" w:fill="DDEBF7"/>
            <w:noWrap/>
            <w:vAlign w:val="bottom"/>
            <w:hideMark/>
          </w:tcPr>
          <w:p w14:paraId="6F608168" w14:textId="1C287648" w:rsidR="002B0E55" w:rsidRPr="00CA62D9" w:rsidRDefault="002B0E55" w:rsidP="001F4096">
            <w:pPr>
              <w:spacing w:before="0" w:after="0" w:line="240" w:lineRule="auto"/>
              <w:jc w:val="left"/>
            </w:pPr>
            <w:r w:rsidRPr="005A7D49">
              <w:rPr>
                <w:rFonts w:ascii="Calibri" w:hAnsi="Calibri"/>
                <w:color w:val="000000"/>
                <w:szCs w:val="20"/>
              </w:rPr>
              <w:t>Odmena za služby clearingového centra a platobnej infraštruktúry</w:t>
            </w:r>
            <w:r w:rsidRPr="002B0E55">
              <w:t xml:space="preserve"> </w:t>
            </w:r>
          </w:p>
        </w:tc>
        <w:tc>
          <w:tcPr>
            <w:tcW w:w="1242" w:type="dxa"/>
            <w:shd w:val="clear" w:color="auto" w:fill="auto"/>
            <w:noWrap/>
            <w:vAlign w:val="center"/>
            <w:hideMark/>
          </w:tcPr>
          <w:p w14:paraId="72FB022B" w14:textId="574E59AF"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13 124 917</w:t>
            </w:r>
          </w:p>
        </w:tc>
        <w:tc>
          <w:tcPr>
            <w:tcW w:w="1243" w:type="dxa"/>
            <w:shd w:val="clear" w:color="auto" w:fill="auto"/>
            <w:noWrap/>
            <w:vAlign w:val="center"/>
            <w:hideMark/>
          </w:tcPr>
          <w:p w14:paraId="228F2801" w14:textId="73D36AE2"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6 302 737</w:t>
            </w:r>
          </w:p>
        </w:tc>
        <w:tc>
          <w:tcPr>
            <w:tcW w:w="1242" w:type="dxa"/>
            <w:shd w:val="clear" w:color="auto" w:fill="auto"/>
            <w:noWrap/>
            <w:vAlign w:val="center"/>
            <w:hideMark/>
          </w:tcPr>
          <w:p w14:paraId="68FE75EB" w14:textId="10B857EA"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6 523 148</w:t>
            </w:r>
          </w:p>
        </w:tc>
        <w:tc>
          <w:tcPr>
            <w:tcW w:w="1243" w:type="dxa"/>
            <w:shd w:val="clear" w:color="auto" w:fill="auto"/>
            <w:noWrap/>
            <w:vAlign w:val="center"/>
            <w:hideMark/>
          </w:tcPr>
          <w:p w14:paraId="04FEA41F" w14:textId="0B117092"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6 739 974</w:t>
            </w:r>
          </w:p>
        </w:tc>
        <w:tc>
          <w:tcPr>
            <w:tcW w:w="1243" w:type="dxa"/>
            <w:shd w:val="clear" w:color="auto" w:fill="auto"/>
            <w:noWrap/>
            <w:vAlign w:val="center"/>
            <w:hideMark/>
          </w:tcPr>
          <w:p w14:paraId="37EAF462" w14:textId="37184C3C"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6 977 681</w:t>
            </w:r>
          </w:p>
        </w:tc>
      </w:tr>
      <w:tr w:rsidR="002B0E55" w:rsidRPr="00CA62D9" w14:paraId="0ADAC181" w14:textId="77777777" w:rsidTr="005A7D49">
        <w:trPr>
          <w:trHeight w:val="270"/>
        </w:trPr>
        <w:tc>
          <w:tcPr>
            <w:tcW w:w="2977" w:type="dxa"/>
            <w:shd w:val="clear" w:color="000000" w:fill="DDEBF7"/>
            <w:noWrap/>
            <w:vAlign w:val="bottom"/>
            <w:hideMark/>
          </w:tcPr>
          <w:p w14:paraId="7021271D" w14:textId="53717389" w:rsidR="002B0E55" w:rsidRPr="00CA62D9" w:rsidRDefault="002B0E55" w:rsidP="002B0E55">
            <w:pPr>
              <w:spacing w:before="0" w:after="0" w:line="240" w:lineRule="auto"/>
              <w:jc w:val="left"/>
              <w:rPr>
                <w:rFonts w:ascii="Calibri" w:hAnsi="Calibri"/>
                <w:color w:val="000000"/>
                <w:szCs w:val="20"/>
              </w:rPr>
            </w:pPr>
            <w:r w:rsidRPr="00CA62D9">
              <w:rPr>
                <w:rFonts w:ascii="Calibri" w:hAnsi="Calibri"/>
                <w:color w:val="000000"/>
                <w:szCs w:val="20"/>
              </w:rPr>
              <w:t>Iné služby (</w:t>
            </w:r>
            <w:r>
              <w:rPr>
                <w:rFonts w:ascii="Calibri" w:hAnsi="Calibri"/>
                <w:color w:val="000000"/>
                <w:szCs w:val="20"/>
              </w:rPr>
              <w:t xml:space="preserve">služby nezávislého znalca, </w:t>
            </w:r>
            <w:r w:rsidRPr="00CA62D9">
              <w:rPr>
                <w:rFonts w:ascii="Calibri" w:hAnsi="Calibri"/>
                <w:color w:val="000000"/>
                <w:szCs w:val="20"/>
              </w:rPr>
              <w:t>technická pomoc, projektové riadenie)</w:t>
            </w:r>
          </w:p>
        </w:tc>
        <w:tc>
          <w:tcPr>
            <w:tcW w:w="1242" w:type="dxa"/>
            <w:shd w:val="clear" w:color="auto" w:fill="auto"/>
            <w:noWrap/>
            <w:vAlign w:val="center"/>
            <w:hideMark/>
          </w:tcPr>
          <w:p w14:paraId="03201A3E" w14:textId="3A31604E"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3 352 414</w:t>
            </w:r>
          </w:p>
        </w:tc>
        <w:tc>
          <w:tcPr>
            <w:tcW w:w="1243" w:type="dxa"/>
            <w:shd w:val="clear" w:color="auto" w:fill="auto"/>
            <w:noWrap/>
            <w:vAlign w:val="center"/>
            <w:hideMark/>
          </w:tcPr>
          <w:p w14:paraId="019B727A" w14:textId="13486741"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3 352 414</w:t>
            </w:r>
          </w:p>
        </w:tc>
        <w:tc>
          <w:tcPr>
            <w:tcW w:w="1242" w:type="dxa"/>
            <w:shd w:val="clear" w:color="auto" w:fill="auto"/>
            <w:noWrap/>
            <w:vAlign w:val="center"/>
            <w:hideMark/>
          </w:tcPr>
          <w:p w14:paraId="43835D68" w14:textId="5BADF710"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3 352 414</w:t>
            </w:r>
          </w:p>
        </w:tc>
        <w:tc>
          <w:tcPr>
            <w:tcW w:w="1243" w:type="dxa"/>
            <w:shd w:val="clear" w:color="auto" w:fill="auto"/>
            <w:noWrap/>
            <w:vAlign w:val="center"/>
            <w:hideMark/>
          </w:tcPr>
          <w:p w14:paraId="21A33A44" w14:textId="3BEC0178"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3 352 414</w:t>
            </w:r>
          </w:p>
        </w:tc>
        <w:tc>
          <w:tcPr>
            <w:tcW w:w="1243" w:type="dxa"/>
            <w:shd w:val="clear" w:color="auto" w:fill="auto"/>
            <w:noWrap/>
            <w:vAlign w:val="center"/>
            <w:hideMark/>
          </w:tcPr>
          <w:p w14:paraId="0DFF011F" w14:textId="68013E92" w:rsidR="002B0E55" w:rsidRPr="00CA62D9" w:rsidRDefault="002B0E55" w:rsidP="002B0E55">
            <w:pPr>
              <w:spacing w:before="0" w:after="0" w:line="240" w:lineRule="auto"/>
              <w:jc w:val="right"/>
              <w:rPr>
                <w:rFonts w:ascii="Calibri" w:hAnsi="Calibri"/>
                <w:color w:val="000000"/>
                <w:szCs w:val="20"/>
              </w:rPr>
            </w:pPr>
            <w:r>
              <w:rPr>
                <w:rFonts w:ascii="Calibri" w:hAnsi="Calibri" w:cs="Calibri"/>
                <w:color w:val="000000"/>
                <w:szCs w:val="20"/>
              </w:rPr>
              <w:t>3 352 414</w:t>
            </w:r>
          </w:p>
        </w:tc>
      </w:tr>
      <w:tr w:rsidR="007A35D6" w:rsidRPr="00CA62D9" w14:paraId="6D6EDC9D" w14:textId="77777777" w:rsidTr="005A7D49">
        <w:trPr>
          <w:trHeight w:val="270"/>
        </w:trPr>
        <w:tc>
          <w:tcPr>
            <w:tcW w:w="2977" w:type="dxa"/>
            <w:shd w:val="clear" w:color="000000" w:fill="BDD7EE"/>
            <w:noWrap/>
            <w:vAlign w:val="bottom"/>
            <w:hideMark/>
          </w:tcPr>
          <w:p w14:paraId="053E3108" w14:textId="77777777" w:rsidR="007A35D6" w:rsidRPr="00CA62D9" w:rsidRDefault="007A35D6" w:rsidP="007A35D6">
            <w:pPr>
              <w:spacing w:before="0" w:after="0" w:line="240" w:lineRule="auto"/>
              <w:jc w:val="left"/>
              <w:rPr>
                <w:rFonts w:ascii="Calibri" w:hAnsi="Calibri"/>
                <w:color w:val="000000"/>
                <w:szCs w:val="20"/>
              </w:rPr>
            </w:pPr>
            <w:r w:rsidRPr="00CA62D9">
              <w:rPr>
                <w:rFonts w:ascii="Calibri" w:hAnsi="Calibri"/>
                <w:color w:val="000000"/>
                <w:szCs w:val="20"/>
              </w:rPr>
              <w:t>Celková suma EUR, bez projektu</w:t>
            </w:r>
          </w:p>
        </w:tc>
        <w:tc>
          <w:tcPr>
            <w:tcW w:w="1242" w:type="dxa"/>
            <w:shd w:val="clear" w:color="000000" w:fill="BDD7EE"/>
            <w:noWrap/>
            <w:vAlign w:val="center"/>
            <w:hideMark/>
          </w:tcPr>
          <w:p w14:paraId="717A0949" w14:textId="3787817F" w:rsidR="007A35D6" w:rsidRPr="00CA62D9" w:rsidRDefault="007A35D6" w:rsidP="007A35D6">
            <w:pPr>
              <w:spacing w:before="0" w:after="0" w:line="240" w:lineRule="auto"/>
              <w:jc w:val="right"/>
              <w:rPr>
                <w:rFonts w:ascii="Calibri" w:hAnsi="Calibri"/>
                <w:color w:val="000000"/>
                <w:szCs w:val="20"/>
              </w:rPr>
            </w:pPr>
            <w:r>
              <w:rPr>
                <w:rFonts w:ascii="Calibri" w:hAnsi="Calibri" w:cs="Calibri"/>
                <w:color w:val="000000"/>
                <w:szCs w:val="20"/>
              </w:rPr>
              <w:t>77 423 397</w:t>
            </w:r>
          </w:p>
        </w:tc>
        <w:tc>
          <w:tcPr>
            <w:tcW w:w="1243" w:type="dxa"/>
            <w:shd w:val="clear" w:color="000000" w:fill="BDD7EE"/>
            <w:noWrap/>
            <w:vAlign w:val="center"/>
            <w:hideMark/>
          </w:tcPr>
          <w:p w14:paraId="71C32FF3" w14:textId="647FBAC7" w:rsidR="007A35D6" w:rsidRPr="00CA62D9" w:rsidRDefault="007A35D6" w:rsidP="007A35D6">
            <w:pPr>
              <w:spacing w:before="0" w:after="0" w:line="240" w:lineRule="auto"/>
              <w:jc w:val="right"/>
              <w:rPr>
                <w:rFonts w:ascii="Calibri" w:hAnsi="Calibri"/>
                <w:color w:val="000000"/>
                <w:szCs w:val="20"/>
              </w:rPr>
            </w:pPr>
            <w:r>
              <w:rPr>
                <w:rFonts w:ascii="Calibri" w:hAnsi="Calibri" w:cs="Calibri"/>
                <w:color w:val="000000"/>
                <w:szCs w:val="20"/>
              </w:rPr>
              <w:t>69 789 638</w:t>
            </w:r>
          </w:p>
        </w:tc>
        <w:tc>
          <w:tcPr>
            <w:tcW w:w="1242" w:type="dxa"/>
            <w:shd w:val="clear" w:color="000000" w:fill="BDD7EE"/>
            <w:noWrap/>
            <w:vAlign w:val="center"/>
            <w:hideMark/>
          </w:tcPr>
          <w:p w14:paraId="681375FC" w14:textId="4D3EE749" w:rsidR="007A35D6" w:rsidRPr="00CA62D9" w:rsidRDefault="007A35D6" w:rsidP="007A35D6">
            <w:pPr>
              <w:spacing w:before="0" w:after="0" w:line="240" w:lineRule="auto"/>
              <w:jc w:val="right"/>
              <w:rPr>
                <w:rFonts w:ascii="Calibri" w:hAnsi="Calibri"/>
                <w:color w:val="000000"/>
                <w:szCs w:val="20"/>
              </w:rPr>
            </w:pPr>
            <w:r>
              <w:rPr>
                <w:rFonts w:ascii="Calibri" w:hAnsi="Calibri" w:cs="Calibri"/>
                <w:color w:val="000000"/>
                <w:szCs w:val="20"/>
              </w:rPr>
              <w:t>69 774 133</w:t>
            </w:r>
          </w:p>
        </w:tc>
        <w:tc>
          <w:tcPr>
            <w:tcW w:w="1243" w:type="dxa"/>
            <w:shd w:val="clear" w:color="000000" w:fill="BDD7EE"/>
            <w:noWrap/>
            <w:vAlign w:val="center"/>
            <w:hideMark/>
          </w:tcPr>
          <w:p w14:paraId="4DA2365D" w14:textId="013BBB22" w:rsidR="007A35D6" w:rsidRPr="00CA62D9" w:rsidRDefault="007A35D6" w:rsidP="007A35D6">
            <w:pPr>
              <w:spacing w:before="0" w:after="0" w:line="240" w:lineRule="auto"/>
              <w:jc w:val="right"/>
              <w:rPr>
                <w:rFonts w:ascii="Calibri" w:hAnsi="Calibri"/>
                <w:color w:val="000000"/>
                <w:szCs w:val="20"/>
              </w:rPr>
            </w:pPr>
            <w:r>
              <w:rPr>
                <w:rFonts w:ascii="Calibri" w:hAnsi="Calibri" w:cs="Calibri"/>
                <w:color w:val="000000"/>
                <w:szCs w:val="20"/>
              </w:rPr>
              <w:t>70 471 769</w:t>
            </w:r>
          </w:p>
        </w:tc>
        <w:tc>
          <w:tcPr>
            <w:tcW w:w="1243" w:type="dxa"/>
            <w:shd w:val="clear" w:color="000000" w:fill="BDD7EE"/>
            <w:noWrap/>
            <w:vAlign w:val="center"/>
            <w:hideMark/>
          </w:tcPr>
          <w:p w14:paraId="630C6440" w14:textId="6B86B222" w:rsidR="007A35D6" w:rsidRPr="00CA62D9" w:rsidRDefault="007A35D6" w:rsidP="007A35D6">
            <w:pPr>
              <w:spacing w:before="0" w:after="0" w:line="240" w:lineRule="auto"/>
              <w:jc w:val="right"/>
              <w:rPr>
                <w:rFonts w:ascii="Calibri" w:hAnsi="Calibri"/>
                <w:color w:val="000000"/>
                <w:szCs w:val="20"/>
              </w:rPr>
            </w:pPr>
            <w:r>
              <w:rPr>
                <w:rFonts w:ascii="Calibri" w:hAnsi="Calibri" w:cs="Calibri"/>
                <w:color w:val="000000"/>
                <w:szCs w:val="20"/>
              </w:rPr>
              <w:t>71 202 307</w:t>
            </w:r>
          </w:p>
        </w:tc>
      </w:tr>
    </w:tbl>
    <w:p w14:paraId="6B487361" w14:textId="1566D4AD" w:rsidR="00446DC8" w:rsidRPr="00366F12" w:rsidRDefault="00A83B15" w:rsidP="00523822">
      <w:pPr>
        <w:rPr>
          <w:i/>
          <w:sz w:val="16"/>
        </w:rPr>
      </w:pPr>
      <w:r w:rsidRPr="00A83B15">
        <w:rPr>
          <w:i/>
          <w:sz w:val="16"/>
        </w:rPr>
        <w:t xml:space="preserve">Zdroj: </w:t>
      </w:r>
      <w:r w:rsidR="00CC3656">
        <w:rPr>
          <w:i/>
          <w:sz w:val="16"/>
        </w:rPr>
        <w:t>evidencia NDS</w:t>
      </w:r>
    </w:p>
    <w:p w14:paraId="09BC8460" w14:textId="71A177E6" w:rsidR="00A107EB" w:rsidRDefault="004A0796" w:rsidP="00727AF2">
      <w:pPr>
        <w:pStyle w:val="Heading3"/>
      </w:pPr>
      <w:bookmarkStart w:id="41" w:name="_Ref73105204"/>
      <w:bookmarkStart w:id="42" w:name="_Toc87348711"/>
      <w:r>
        <w:t>Príjmy</w:t>
      </w:r>
      <w:bookmarkEnd w:id="41"/>
      <w:bookmarkEnd w:id="42"/>
    </w:p>
    <w:p w14:paraId="5A819862" w14:textId="00468F1B" w:rsidR="00727AF2" w:rsidRDefault="00727AF2" w:rsidP="00727AF2">
      <w:r>
        <w:t>Príjmy posudzovaného variantu sú tvorené príjm</w:t>
      </w:r>
      <w:r w:rsidR="009F1AE2">
        <w:t>om</w:t>
      </w:r>
      <w:r>
        <w:t xml:space="preserve"> z elektronického výberu mýta. Prognóza príjmov z elektronického výberu mýta na základe analýzy historických dopravných dát a plánovaného rozvoja cestnej infraštruktúry je podrobne spracovaná v</w:t>
      </w:r>
      <w:r w:rsidR="00471DFC">
        <w:t xml:space="preserve"> </w:t>
      </w:r>
      <w:r w:rsidR="00471DFC" w:rsidRPr="00471DFC">
        <w:t>Štúdi</w:t>
      </w:r>
      <w:r w:rsidR="00471DFC">
        <w:t>i</w:t>
      </w:r>
      <w:r w:rsidR="00471DFC" w:rsidRPr="00471DFC">
        <w:t xml:space="preserve"> uskutočniteľnosti EMS</w:t>
      </w:r>
      <w:r>
        <w:t>.</w:t>
      </w:r>
      <w:r w:rsidR="008C550F">
        <w:t xml:space="preserve"> Prognóza zohľadňuje vplyv zliav na výber mýta.</w:t>
      </w:r>
    </w:p>
    <w:p w14:paraId="141693DB" w14:textId="7DBBA4E8" w:rsidR="008915A2" w:rsidRDefault="008915A2" w:rsidP="00FA6605">
      <w:pPr>
        <w:pStyle w:val="Caption"/>
      </w:pPr>
      <w:r>
        <w:t xml:space="preserve">Tab. </w:t>
      </w:r>
      <w:r>
        <w:fldChar w:fldCharType="begin"/>
      </w:r>
      <w:r>
        <w:instrText xml:space="preserve"> SEQ Tab. \* ARABIC </w:instrText>
      </w:r>
      <w:r>
        <w:fldChar w:fldCharType="separate"/>
      </w:r>
      <w:r w:rsidR="00A86720">
        <w:rPr>
          <w:noProof/>
        </w:rPr>
        <w:t>3</w:t>
      </w:r>
      <w:r>
        <w:fldChar w:fldCharType="end"/>
      </w:r>
      <w:r>
        <w:t xml:space="preserve"> - Príjmy, variant 0</w:t>
      </w:r>
    </w:p>
    <w:tbl>
      <w:tblPr>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2977"/>
        <w:gridCol w:w="1256"/>
        <w:gridCol w:w="1256"/>
        <w:gridCol w:w="1256"/>
        <w:gridCol w:w="1256"/>
        <w:gridCol w:w="1256"/>
      </w:tblGrid>
      <w:tr w:rsidR="00A94C01" w:rsidRPr="008915A2" w14:paraId="44CEFFED" w14:textId="77777777" w:rsidTr="008915A2">
        <w:trPr>
          <w:trHeight w:val="255"/>
        </w:trPr>
        <w:tc>
          <w:tcPr>
            <w:tcW w:w="2977" w:type="dxa"/>
            <w:shd w:val="clear" w:color="auto" w:fill="BDD6EE" w:themeFill="accent1" w:themeFillTint="66"/>
            <w:noWrap/>
            <w:vAlign w:val="bottom"/>
            <w:hideMark/>
          </w:tcPr>
          <w:p w14:paraId="2652C784" w14:textId="0EE62761" w:rsidR="00A94C01" w:rsidRPr="00A94C01" w:rsidRDefault="009F1AE2" w:rsidP="00A94C01">
            <w:pPr>
              <w:spacing w:before="0" w:after="0" w:line="240" w:lineRule="auto"/>
              <w:jc w:val="left"/>
              <w:rPr>
                <w:rFonts w:ascii="Calibri" w:hAnsi="Calibri"/>
                <w:szCs w:val="20"/>
              </w:rPr>
            </w:pPr>
            <w:r w:rsidRPr="008915A2">
              <w:rPr>
                <w:rFonts w:ascii="Calibri" w:hAnsi="Calibri"/>
                <w:szCs w:val="20"/>
              </w:rPr>
              <w:t>Údaje v EUR</w:t>
            </w:r>
          </w:p>
        </w:tc>
        <w:tc>
          <w:tcPr>
            <w:tcW w:w="1256" w:type="dxa"/>
            <w:shd w:val="clear" w:color="auto" w:fill="BDD6EE" w:themeFill="accent1" w:themeFillTint="66"/>
            <w:noWrap/>
            <w:vAlign w:val="bottom"/>
            <w:hideMark/>
          </w:tcPr>
          <w:p w14:paraId="1409A293" w14:textId="77777777" w:rsidR="00A94C01" w:rsidRPr="00A94C01" w:rsidRDefault="00A94C01" w:rsidP="00A94C01">
            <w:pPr>
              <w:spacing w:before="0" w:after="0" w:line="240" w:lineRule="auto"/>
              <w:jc w:val="center"/>
              <w:rPr>
                <w:rFonts w:ascii="Calibri" w:hAnsi="Calibri"/>
                <w:szCs w:val="20"/>
              </w:rPr>
            </w:pPr>
            <w:r w:rsidRPr="00A94C01">
              <w:rPr>
                <w:rFonts w:ascii="Calibri" w:hAnsi="Calibri"/>
                <w:szCs w:val="20"/>
              </w:rPr>
              <w:t>2022</w:t>
            </w:r>
          </w:p>
        </w:tc>
        <w:tc>
          <w:tcPr>
            <w:tcW w:w="1256" w:type="dxa"/>
            <w:shd w:val="clear" w:color="auto" w:fill="BDD6EE" w:themeFill="accent1" w:themeFillTint="66"/>
            <w:noWrap/>
            <w:vAlign w:val="bottom"/>
            <w:hideMark/>
          </w:tcPr>
          <w:p w14:paraId="50AE9600" w14:textId="77777777" w:rsidR="00A94C01" w:rsidRPr="00A94C01" w:rsidRDefault="00A94C01" w:rsidP="00A94C01">
            <w:pPr>
              <w:spacing w:before="0" w:after="0" w:line="240" w:lineRule="auto"/>
              <w:jc w:val="center"/>
              <w:rPr>
                <w:rFonts w:ascii="Calibri" w:hAnsi="Calibri"/>
                <w:szCs w:val="20"/>
              </w:rPr>
            </w:pPr>
            <w:r w:rsidRPr="00A94C01">
              <w:rPr>
                <w:rFonts w:ascii="Calibri" w:hAnsi="Calibri"/>
                <w:szCs w:val="20"/>
              </w:rPr>
              <w:t>2023</w:t>
            </w:r>
          </w:p>
        </w:tc>
        <w:tc>
          <w:tcPr>
            <w:tcW w:w="1256" w:type="dxa"/>
            <w:shd w:val="clear" w:color="auto" w:fill="BDD6EE" w:themeFill="accent1" w:themeFillTint="66"/>
            <w:noWrap/>
            <w:vAlign w:val="bottom"/>
            <w:hideMark/>
          </w:tcPr>
          <w:p w14:paraId="54BD6B78" w14:textId="77777777" w:rsidR="00A94C01" w:rsidRPr="00A94C01" w:rsidRDefault="00A94C01" w:rsidP="00A94C01">
            <w:pPr>
              <w:spacing w:before="0" w:after="0" w:line="240" w:lineRule="auto"/>
              <w:jc w:val="center"/>
              <w:rPr>
                <w:rFonts w:ascii="Calibri" w:hAnsi="Calibri"/>
                <w:szCs w:val="20"/>
              </w:rPr>
            </w:pPr>
            <w:r w:rsidRPr="00A94C01">
              <w:rPr>
                <w:rFonts w:ascii="Calibri" w:hAnsi="Calibri"/>
                <w:szCs w:val="20"/>
              </w:rPr>
              <w:t>2024</w:t>
            </w:r>
          </w:p>
        </w:tc>
        <w:tc>
          <w:tcPr>
            <w:tcW w:w="1256" w:type="dxa"/>
            <w:shd w:val="clear" w:color="auto" w:fill="BDD6EE" w:themeFill="accent1" w:themeFillTint="66"/>
            <w:noWrap/>
            <w:vAlign w:val="bottom"/>
            <w:hideMark/>
          </w:tcPr>
          <w:p w14:paraId="01D0C2E6" w14:textId="77777777" w:rsidR="00A94C01" w:rsidRPr="00A94C01" w:rsidRDefault="00A94C01" w:rsidP="00A94C01">
            <w:pPr>
              <w:spacing w:before="0" w:after="0" w:line="240" w:lineRule="auto"/>
              <w:jc w:val="center"/>
              <w:rPr>
                <w:rFonts w:ascii="Calibri" w:hAnsi="Calibri"/>
                <w:szCs w:val="20"/>
              </w:rPr>
            </w:pPr>
            <w:r w:rsidRPr="00A94C01">
              <w:rPr>
                <w:rFonts w:ascii="Calibri" w:hAnsi="Calibri"/>
                <w:szCs w:val="20"/>
              </w:rPr>
              <w:t>2025</w:t>
            </w:r>
          </w:p>
        </w:tc>
        <w:tc>
          <w:tcPr>
            <w:tcW w:w="1256" w:type="dxa"/>
            <w:shd w:val="clear" w:color="auto" w:fill="BDD6EE" w:themeFill="accent1" w:themeFillTint="66"/>
            <w:noWrap/>
            <w:vAlign w:val="bottom"/>
            <w:hideMark/>
          </w:tcPr>
          <w:p w14:paraId="40D19F09" w14:textId="77777777" w:rsidR="00A94C01" w:rsidRPr="00A94C01" w:rsidRDefault="00A94C01" w:rsidP="00A94C01">
            <w:pPr>
              <w:spacing w:before="0" w:after="0" w:line="240" w:lineRule="auto"/>
              <w:jc w:val="center"/>
              <w:rPr>
                <w:rFonts w:ascii="Calibri" w:hAnsi="Calibri"/>
                <w:szCs w:val="20"/>
              </w:rPr>
            </w:pPr>
            <w:r w:rsidRPr="00A94C01">
              <w:rPr>
                <w:rFonts w:ascii="Calibri" w:hAnsi="Calibri"/>
                <w:szCs w:val="20"/>
              </w:rPr>
              <w:t>2026</w:t>
            </w:r>
          </w:p>
        </w:tc>
      </w:tr>
      <w:tr w:rsidR="00A94C01" w:rsidRPr="008915A2" w14:paraId="45D5F8A1" w14:textId="77777777" w:rsidTr="008915A2">
        <w:trPr>
          <w:trHeight w:val="255"/>
        </w:trPr>
        <w:tc>
          <w:tcPr>
            <w:tcW w:w="2977" w:type="dxa"/>
            <w:shd w:val="clear" w:color="auto" w:fill="DEEAF6" w:themeFill="accent1" w:themeFillTint="33"/>
            <w:noWrap/>
            <w:vAlign w:val="bottom"/>
            <w:hideMark/>
          </w:tcPr>
          <w:p w14:paraId="28C89300" w14:textId="77777777" w:rsidR="00A94C01" w:rsidRPr="00A94C01" w:rsidRDefault="00A94C01" w:rsidP="00A94C01">
            <w:pPr>
              <w:spacing w:before="0" w:after="0" w:line="240" w:lineRule="auto"/>
              <w:jc w:val="left"/>
              <w:rPr>
                <w:rFonts w:ascii="Calibri" w:hAnsi="Calibri"/>
                <w:szCs w:val="20"/>
              </w:rPr>
            </w:pPr>
            <w:r w:rsidRPr="00A94C01">
              <w:rPr>
                <w:rFonts w:ascii="Calibri" w:hAnsi="Calibri"/>
                <w:szCs w:val="20"/>
              </w:rPr>
              <w:t>Prognóza výberu mýta</w:t>
            </w:r>
          </w:p>
        </w:tc>
        <w:tc>
          <w:tcPr>
            <w:tcW w:w="1256" w:type="dxa"/>
            <w:shd w:val="clear" w:color="auto" w:fill="auto"/>
            <w:noWrap/>
            <w:vAlign w:val="bottom"/>
            <w:hideMark/>
          </w:tcPr>
          <w:p w14:paraId="524D5EAD" w14:textId="77777777" w:rsidR="00A94C01" w:rsidRPr="00A94C01" w:rsidRDefault="00A94C01" w:rsidP="00A94C01">
            <w:pPr>
              <w:spacing w:before="0" w:after="0" w:line="240" w:lineRule="auto"/>
              <w:jc w:val="right"/>
              <w:rPr>
                <w:rFonts w:ascii="Calibri" w:hAnsi="Calibri"/>
                <w:szCs w:val="20"/>
              </w:rPr>
            </w:pPr>
            <w:r w:rsidRPr="00A94C01">
              <w:rPr>
                <w:rFonts w:ascii="Calibri" w:hAnsi="Calibri"/>
                <w:szCs w:val="20"/>
              </w:rPr>
              <w:t>233 655 755</w:t>
            </w:r>
          </w:p>
        </w:tc>
        <w:tc>
          <w:tcPr>
            <w:tcW w:w="1256" w:type="dxa"/>
            <w:shd w:val="clear" w:color="auto" w:fill="auto"/>
            <w:noWrap/>
            <w:vAlign w:val="bottom"/>
            <w:hideMark/>
          </w:tcPr>
          <w:p w14:paraId="7D35E39E" w14:textId="77777777" w:rsidR="00A94C01" w:rsidRPr="00A94C01" w:rsidRDefault="00A94C01" w:rsidP="00A94C01">
            <w:pPr>
              <w:spacing w:before="0" w:after="0" w:line="240" w:lineRule="auto"/>
              <w:jc w:val="right"/>
              <w:rPr>
                <w:rFonts w:ascii="Calibri" w:hAnsi="Calibri"/>
                <w:szCs w:val="20"/>
              </w:rPr>
            </w:pPr>
            <w:r w:rsidRPr="00A94C01">
              <w:rPr>
                <w:rFonts w:ascii="Calibri" w:hAnsi="Calibri"/>
                <w:szCs w:val="20"/>
              </w:rPr>
              <w:t>245 504 057</w:t>
            </w:r>
          </w:p>
        </w:tc>
        <w:tc>
          <w:tcPr>
            <w:tcW w:w="1256" w:type="dxa"/>
            <w:shd w:val="clear" w:color="auto" w:fill="auto"/>
            <w:noWrap/>
            <w:vAlign w:val="bottom"/>
            <w:hideMark/>
          </w:tcPr>
          <w:p w14:paraId="176A1D43" w14:textId="77777777" w:rsidR="00A94C01" w:rsidRPr="00A94C01" w:rsidRDefault="00A94C01" w:rsidP="00A94C01">
            <w:pPr>
              <w:spacing w:before="0" w:after="0" w:line="240" w:lineRule="auto"/>
              <w:jc w:val="right"/>
              <w:rPr>
                <w:rFonts w:ascii="Calibri" w:hAnsi="Calibri"/>
                <w:szCs w:val="20"/>
              </w:rPr>
            </w:pPr>
            <w:r w:rsidRPr="00A94C01">
              <w:rPr>
                <w:rFonts w:ascii="Calibri" w:hAnsi="Calibri"/>
                <w:szCs w:val="20"/>
              </w:rPr>
              <w:t>248 712 141</w:t>
            </w:r>
          </w:p>
        </w:tc>
        <w:tc>
          <w:tcPr>
            <w:tcW w:w="1256" w:type="dxa"/>
            <w:shd w:val="clear" w:color="auto" w:fill="auto"/>
            <w:noWrap/>
            <w:vAlign w:val="bottom"/>
            <w:hideMark/>
          </w:tcPr>
          <w:p w14:paraId="5CF1465D" w14:textId="77777777" w:rsidR="00A94C01" w:rsidRPr="00A94C01" w:rsidRDefault="00A94C01" w:rsidP="00A94C01">
            <w:pPr>
              <w:spacing w:before="0" w:after="0" w:line="240" w:lineRule="auto"/>
              <w:jc w:val="right"/>
              <w:rPr>
                <w:rFonts w:ascii="Calibri" w:hAnsi="Calibri"/>
                <w:szCs w:val="20"/>
              </w:rPr>
            </w:pPr>
            <w:r w:rsidRPr="00A94C01">
              <w:rPr>
                <w:rFonts w:ascii="Calibri" w:hAnsi="Calibri"/>
                <w:szCs w:val="20"/>
              </w:rPr>
              <w:t>251 653 366</w:t>
            </w:r>
          </w:p>
        </w:tc>
        <w:tc>
          <w:tcPr>
            <w:tcW w:w="1256" w:type="dxa"/>
            <w:shd w:val="clear" w:color="auto" w:fill="auto"/>
            <w:noWrap/>
            <w:vAlign w:val="bottom"/>
            <w:hideMark/>
          </w:tcPr>
          <w:p w14:paraId="2F255260" w14:textId="77777777" w:rsidR="00A94C01" w:rsidRPr="00A94C01" w:rsidRDefault="00A94C01" w:rsidP="00A94C01">
            <w:pPr>
              <w:spacing w:before="0" w:after="0" w:line="240" w:lineRule="auto"/>
              <w:jc w:val="right"/>
              <w:rPr>
                <w:rFonts w:ascii="Calibri" w:hAnsi="Calibri"/>
                <w:szCs w:val="20"/>
              </w:rPr>
            </w:pPr>
            <w:r w:rsidRPr="00A94C01">
              <w:rPr>
                <w:rFonts w:ascii="Calibri" w:hAnsi="Calibri"/>
                <w:szCs w:val="20"/>
              </w:rPr>
              <w:t>255 239 016</w:t>
            </w:r>
          </w:p>
        </w:tc>
      </w:tr>
    </w:tbl>
    <w:p w14:paraId="6AE06976" w14:textId="5363F024" w:rsidR="00727AF2" w:rsidRDefault="009F1AE2" w:rsidP="00727AF2">
      <w:pPr>
        <w:rPr>
          <w:i/>
          <w:sz w:val="16"/>
        </w:rPr>
      </w:pPr>
      <w:r w:rsidRPr="009F1AE2">
        <w:rPr>
          <w:i/>
          <w:sz w:val="16"/>
        </w:rPr>
        <w:t>Zdro</w:t>
      </w:r>
      <w:r w:rsidR="00471DFC">
        <w:rPr>
          <w:i/>
          <w:sz w:val="16"/>
        </w:rPr>
        <w:t>j: Štúdia uskutočniteľnosti EMS</w:t>
      </w:r>
      <w:r w:rsidRPr="009F1AE2">
        <w:rPr>
          <w:i/>
          <w:sz w:val="16"/>
        </w:rPr>
        <w:t xml:space="preserve"> </w:t>
      </w:r>
    </w:p>
    <w:p w14:paraId="3C008925" w14:textId="77777777" w:rsidR="00366F12" w:rsidRPr="009F1AE2" w:rsidRDefault="00366F12" w:rsidP="00727AF2">
      <w:pPr>
        <w:rPr>
          <w:i/>
          <w:sz w:val="16"/>
        </w:rPr>
      </w:pPr>
    </w:p>
    <w:p w14:paraId="78F6F73C" w14:textId="0403FDE2" w:rsidR="008915A2" w:rsidRDefault="008915A2" w:rsidP="008915A2">
      <w:pPr>
        <w:pStyle w:val="Heading3"/>
      </w:pPr>
      <w:bookmarkStart w:id="43" w:name="_Toc87348712"/>
      <w:r>
        <w:t>Celkové náklady životného cyklu projektu</w:t>
      </w:r>
      <w:bookmarkEnd w:id="43"/>
    </w:p>
    <w:p w14:paraId="282F7E2D" w14:textId="13533162" w:rsidR="008915A2" w:rsidRPr="008915A2" w:rsidRDefault="008915A2" w:rsidP="008915A2">
      <w:r>
        <w:t>Celkové náklady životného cyklu projektu vo variant</w:t>
      </w:r>
      <w:r w:rsidR="00FB4C0E">
        <w:t>e</w:t>
      </w:r>
      <w:r>
        <w:t xml:space="preserve"> 0 – bez projektu </w:t>
      </w:r>
      <w:r w:rsidR="00FE292A">
        <w:t xml:space="preserve">– </w:t>
      </w:r>
      <w:r>
        <w:t xml:space="preserve">za päťročné obdobie prevádzkovania výberu mýta predstavujú sumu </w:t>
      </w:r>
      <w:r w:rsidR="007A35D6" w:rsidRPr="00A40297">
        <w:rPr>
          <w:b/>
        </w:rPr>
        <w:t>358 661</w:t>
      </w:r>
      <w:r w:rsidR="00FB4C0E">
        <w:rPr>
          <w:b/>
        </w:rPr>
        <w:t> </w:t>
      </w:r>
      <w:r w:rsidR="007A35D6" w:rsidRPr="00A40297">
        <w:rPr>
          <w:b/>
        </w:rPr>
        <w:t>243</w:t>
      </w:r>
      <w:r w:rsidR="00FB4C0E">
        <w:rPr>
          <w:b/>
        </w:rPr>
        <w:t>,-</w:t>
      </w:r>
      <w:r w:rsidR="002B0E55" w:rsidRPr="005A7D49" w:rsidDel="002B0E55">
        <w:rPr>
          <w:b/>
        </w:rPr>
        <w:t xml:space="preserve"> </w:t>
      </w:r>
      <w:r w:rsidRPr="008915A2">
        <w:rPr>
          <w:b/>
        </w:rPr>
        <w:t>Eur</w:t>
      </w:r>
      <w:r>
        <w:t xml:space="preserve"> bez DPH.</w:t>
      </w:r>
    </w:p>
    <w:p w14:paraId="3818E57A" w14:textId="77777777" w:rsidR="008915A2" w:rsidRPr="00A107EB" w:rsidRDefault="008915A2" w:rsidP="00523822"/>
    <w:p w14:paraId="1044462D" w14:textId="5B6A8FCD" w:rsidR="00E3086F" w:rsidRDefault="00E3086F" w:rsidP="00E3086F">
      <w:pPr>
        <w:pStyle w:val="Heading2"/>
      </w:pPr>
      <w:bookmarkStart w:id="44" w:name="_Toc87348713"/>
      <w:r>
        <w:t xml:space="preserve">Variant </w:t>
      </w:r>
      <w:r w:rsidR="00FD1C8A">
        <w:t>1</w:t>
      </w:r>
      <w:bookmarkEnd w:id="44"/>
    </w:p>
    <w:p w14:paraId="3BFB873E" w14:textId="799A2E93" w:rsidR="00610089" w:rsidRDefault="00BC2FF7" w:rsidP="00BC2FF7">
      <w:r>
        <w:t xml:space="preserve">Variant 1 znamená </w:t>
      </w:r>
      <w:r w:rsidR="00610089">
        <w:t>materiálne, technické, procesné a organizačné zabezpečenie podmienok nevyhnutných na poskytovanie EETS na</w:t>
      </w:r>
      <w:r>
        <w:t xml:space="preserve"> </w:t>
      </w:r>
      <w:r w:rsidR="00610089">
        <w:t xml:space="preserve">strane </w:t>
      </w:r>
      <w:r w:rsidR="00B324B6">
        <w:t>Správc</w:t>
      </w:r>
      <w:r>
        <w:t>u výberu m</w:t>
      </w:r>
      <w:r w:rsidR="00610089">
        <w:t xml:space="preserve">ýta. </w:t>
      </w:r>
      <w:r w:rsidR="007364F5">
        <w:t>Náklady na vybudovanie a prevádzku EETS sú zahrnuté do mýta.</w:t>
      </w:r>
    </w:p>
    <w:p w14:paraId="08133BEE" w14:textId="1D63FF61" w:rsidR="00BC2FF7" w:rsidRDefault="00610089" w:rsidP="00BC2FF7">
      <w:r>
        <w:t>Variant 1 predpokladá transpozíciu Smernice do ZVM. Na naplnenie ustanovení článku 7 Smernice „Odmena“ sa vo variant</w:t>
      </w:r>
      <w:r w:rsidR="00FB4C0E">
        <w:t>e</w:t>
      </w:r>
      <w:r>
        <w:t xml:space="preserve"> 1 predpokladá zachovanie rovnakého biznis modelu, ako je aplikovaný pri </w:t>
      </w:r>
      <w:r w:rsidR="00B3662E">
        <w:t xml:space="preserve">zmluve SkyToll o poskytovaní </w:t>
      </w:r>
      <w:r>
        <w:t xml:space="preserve">komplexnej </w:t>
      </w:r>
      <w:r w:rsidR="00B3662E">
        <w:t>služby</w:t>
      </w:r>
      <w:r>
        <w:t xml:space="preserve"> elektronického výberu mýta. </w:t>
      </w:r>
      <w:r w:rsidR="00B3662E">
        <w:t>Konkrétne ide o odmenu za kvantitatívny rozsah poskytovaných služieb, ktorá je založená na fixnej jednotkovej cene za mýtnu transakciu</w:t>
      </w:r>
      <w:r w:rsidR="008915A2">
        <w:t xml:space="preserve"> – odmena za mýtnu transakciu by patrila tomu subjektu (SkyToll alebo poskytovateľ EETS), ktorý zabezpečil a do mýtneho systému dodal dáta, na základe ktorých bola vyrubená mýtna transakcia</w:t>
      </w:r>
      <w:r w:rsidR="00B3662E">
        <w:t>.</w:t>
      </w:r>
      <w:r>
        <w:t xml:space="preserve"> </w:t>
      </w:r>
      <w:r w:rsidR="002B0E55">
        <w:t>Sadzba odmeny za kvantitatívny rozsah plnenia stanovená Zmluvou ETC sa použije rovn</w:t>
      </w:r>
      <w:r w:rsidR="00FB4C0E">
        <w:t>ak</w:t>
      </w:r>
      <w:r w:rsidR="002B0E55">
        <w:t xml:space="preserve">ým spôsobom pre výpočet odmeny poskytovateľov EETS. Jednotná sadzba odmeny pre všetkých participantov je </w:t>
      </w:r>
      <w:r w:rsidR="008C550F" w:rsidRPr="008C550F">
        <w:t>0,033194</w:t>
      </w:r>
      <w:r w:rsidR="008C550F">
        <w:t xml:space="preserve"> Eur </w:t>
      </w:r>
      <w:r w:rsidR="002B0E55">
        <w:t xml:space="preserve">za 1 spracovanú mýtnu transakciu bez DPH.  </w:t>
      </w:r>
      <w:r>
        <w:t xml:space="preserve"> </w:t>
      </w:r>
    </w:p>
    <w:p w14:paraId="6698A661" w14:textId="35099B6E" w:rsidR="00B3662E" w:rsidRDefault="00B3662E" w:rsidP="00BC2FF7">
      <w:r>
        <w:t xml:space="preserve">Metodika určenia odmeny založená na cene za mýtnu transakciu je </w:t>
      </w:r>
      <w:r w:rsidRPr="00B3662E">
        <w:t>transparentná, nediskriminačná a</w:t>
      </w:r>
      <w:r w:rsidR="00E3171B">
        <w:t> </w:t>
      </w:r>
      <w:r w:rsidRPr="00B3662E">
        <w:t>rovnaká pre všetkých poskytovateľov EETS</w:t>
      </w:r>
      <w:r>
        <w:t xml:space="preserve"> a nelíši sa od odmeny hlavného poskytovateľa služieb SkyToll. Metodika stanovenia odmeny za transakcie je z pohľadu </w:t>
      </w:r>
      <w:r w:rsidR="00B324B6">
        <w:t>Správc</w:t>
      </w:r>
      <w:r>
        <w:t>u výberu mýta nákladovo neutrálna, lebo dochádza iba k prerozdeleniu daného objemu mýtnych transakcií</w:t>
      </w:r>
      <w:r w:rsidR="008C550F">
        <w:t xml:space="preserve"> a tým i proporcionálnemu prerozdeleniu odmeny </w:t>
      </w:r>
      <w:r>
        <w:t>medzi SkyToll a poskytovateľov EETS</w:t>
      </w:r>
      <w:r w:rsidR="008C550F">
        <w:t>, pričom</w:t>
      </w:r>
      <w:r>
        <w:t xml:space="preserve"> celkový objem (ročný počet) mýtnych transakcií </w:t>
      </w:r>
      <w:r w:rsidR="008C550F">
        <w:t xml:space="preserve">a suma odmeny </w:t>
      </w:r>
      <w:r>
        <w:t xml:space="preserve">sa nemení. </w:t>
      </w:r>
    </w:p>
    <w:p w14:paraId="6853D8D5" w14:textId="328629B1" w:rsidR="00E3171B" w:rsidRDefault="00FE292A" w:rsidP="00BC2FF7">
      <w:r>
        <w:t>Navrhnutá metodika</w:t>
      </w:r>
      <w:r w:rsidR="00E3171B">
        <w:t xml:space="preserve"> určenia odmeny podľa tohto návrhu variantu 1 spĺňa požiadavky článku 7 Smernice. Metodika vychádza z ustanovení platnej a účinnej Zmluvy </w:t>
      </w:r>
      <w:r>
        <w:t>ETC</w:t>
      </w:r>
      <w:r w:rsidR="00D33EFC">
        <w:t xml:space="preserve">, </w:t>
      </w:r>
      <w:r w:rsidR="00474E69">
        <w:t>je v súlade s touto zmluvou a nevyžaduje zásah do parametrov zmluvy, ktoré boli predmetom kritérií pôvodnej verejnej súťaže.</w:t>
      </w:r>
      <w:r w:rsidR="00D33EFC">
        <w:t xml:space="preserve"> Z pohľadu ZVO je návrh variantu 1 uskutočniteľný.</w:t>
      </w:r>
      <w:r w:rsidR="00474E69">
        <w:t xml:space="preserve"> </w:t>
      </w:r>
      <w:r w:rsidR="00E3171B">
        <w:t xml:space="preserve">  </w:t>
      </w:r>
    </w:p>
    <w:p w14:paraId="1894B577" w14:textId="583ECC24" w:rsidR="00474E69" w:rsidRDefault="00E3171B" w:rsidP="00BC2FF7">
      <w:r>
        <w:lastRenderedPageBreak/>
        <w:t xml:space="preserve">Správca výberu mýta je </w:t>
      </w:r>
      <w:r w:rsidR="00474E69">
        <w:t xml:space="preserve">oprávnený </w:t>
      </w:r>
      <w:r>
        <w:t xml:space="preserve">v súlade s ustanovením článku 7 ods. 3 Smernice od odmeny poskytovateľa EETS </w:t>
      </w:r>
      <w:r w:rsidRPr="00E3171B">
        <w:t xml:space="preserve">odpočítať z odmeny pre poskytovateľov EETS pevné poplatky, ktoré mu vznikajú v súvislosti s poskytovaním, prevádzkou a údržbou </w:t>
      </w:r>
      <w:r w:rsidR="00474E69">
        <w:t xml:space="preserve">mýtneho </w:t>
      </w:r>
      <w:r w:rsidRPr="00E3171B">
        <w:t>systému spĺňajúceho požiadavky EETS, ak tieto náklady nie sú zahrnuté v mýte.</w:t>
      </w:r>
      <w:r w:rsidR="00474E69">
        <w:t xml:space="preserve"> S ohľadom na skutočnosť, že: </w:t>
      </w:r>
    </w:p>
    <w:p w14:paraId="64AF8080" w14:textId="6A096B29" w:rsidR="00474E69" w:rsidRDefault="00474E69" w:rsidP="00533FC1">
      <w:pPr>
        <w:pStyle w:val="ListParagraph"/>
        <w:numPr>
          <w:ilvl w:val="0"/>
          <w:numId w:val="24"/>
        </w:numPr>
      </w:pPr>
      <w:r>
        <w:t>sa očakáva postupný nábeh služieb zabezpečovaných poskytovateľmi EETS,</w:t>
      </w:r>
    </w:p>
    <w:p w14:paraId="0660E8D4" w14:textId="12035626" w:rsidR="00474E69" w:rsidRDefault="00474E69" w:rsidP="00533FC1">
      <w:pPr>
        <w:pStyle w:val="ListParagraph"/>
        <w:numPr>
          <w:ilvl w:val="0"/>
          <w:numId w:val="24"/>
        </w:numPr>
      </w:pPr>
      <w:r>
        <w:t>hodnotiaci časový horizont je 5 rokov,</w:t>
      </w:r>
    </w:p>
    <w:p w14:paraId="4619CD69" w14:textId="5B809AFD" w:rsidR="00474E69" w:rsidRDefault="00474E69" w:rsidP="00533FC1">
      <w:pPr>
        <w:pStyle w:val="ListParagraph"/>
        <w:numPr>
          <w:ilvl w:val="0"/>
          <w:numId w:val="24"/>
        </w:numPr>
      </w:pPr>
      <w:r>
        <w:t xml:space="preserve">predpokladaná suma odmien poskytovateľov EETS </w:t>
      </w:r>
      <w:r w:rsidR="00565DCA">
        <w:t>po odpočítaní</w:t>
      </w:r>
      <w:r>
        <w:t xml:space="preserve"> </w:t>
      </w:r>
      <w:r w:rsidR="00565DCA">
        <w:t xml:space="preserve">celkových nákladov </w:t>
      </w:r>
      <w:r>
        <w:t>na implementáciu a prevádzku EETS v rámci komplexnej služby elektronického výberu mýta</w:t>
      </w:r>
      <w:r w:rsidR="00565DCA">
        <w:t xml:space="preserve"> by bola príliš nízka</w:t>
      </w:r>
      <w:r>
        <w:t>,</w:t>
      </w:r>
    </w:p>
    <w:p w14:paraId="7D435E87" w14:textId="4C9C8DDF" w:rsidR="00565DCA" w:rsidRDefault="00565DCA" w:rsidP="00533FC1">
      <w:pPr>
        <w:pStyle w:val="ListParagraph"/>
        <w:numPr>
          <w:ilvl w:val="0"/>
          <w:numId w:val="24"/>
        </w:numPr>
      </w:pPr>
      <w:r>
        <w:t>poskytovatelia služieb EETS by neboli dostatočne ekonomicky motivovaní k poskytovaniu služieb EETS na území Slovensk</w:t>
      </w:r>
      <w:r w:rsidR="00282E40">
        <w:t>ej republiky</w:t>
      </w:r>
      <w:r>
        <w:t>, resp. poskytovanie týchto služieb by pre nich znamenalo ekonomickú stratu,</w:t>
      </w:r>
    </w:p>
    <w:p w14:paraId="3243EB47" w14:textId="79DCB161" w:rsidR="00565DCA" w:rsidRDefault="00565DCA" w:rsidP="00533FC1">
      <w:pPr>
        <w:pStyle w:val="ListParagraph"/>
        <w:numPr>
          <w:ilvl w:val="0"/>
          <w:numId w:val="24"/>
        </w:numPr>
      </w:pPr>
      <w:r>
        <w:t>a nízka odmena by mohla byť považovaná za neodôvodnene diskriminačnú v porovnaním s odmenou za zrovnateľné služby hlavného poskytovateľa SkyToll,</w:t>
      </w:r>
    </w:p>
    <w:p w14:paraId="652FB115" w14:textId="2CFB85B8" w:rsidR="00595423" w:rsidRDefault="00565DCA" w:rsidP="00595423">
      <w:r>
        <w:t>sa vo variant</w:t>
      </w:r>
      <w:r w:rsidR="00282E40">
        <w:t>e</w:t>
      </w:r>
      <w:r>
        <w:t xml:space="preserve"> 1 navrhuje neuplatňovať odpočet nákladov na implementáciu a prevádzku EETS z odmeny poskytovateľov EETS. V</w:t>
      </w:r>
      <w:r w:rsidR="000E6C12">
        <w:t xml:space="preserve">ariant 1 </w:t>
      </w:r>
      <w:r>
        <w:t xml:space="preserve">preto odporúča </w:t>
      </w:r>
      <w:r w:rsidR="000E6C12">
        <w:t>zahrnúť náklady na EETS do mýta.</w:t>
      </w:r>
      <w:r w:rsidR="00595423">
        <w:t xml:space="preserve"> Navrhnuté opatrenie </w:t>
      </w:r>
      <w:r w:rsidR="008C550F">
        <w:t xml:space="preserve">potom </w:t>
      </w:r>
      <w:r w:rsidR="00595423">
        <w:t>vyžaduje úpravu sadzieb mýta stanovených Nariadením vlády Slovenskej republiky č</w:t>
      </w:r>
      <w:r w:rsidR="00905BEF">
        <w:t>. </w:t>
      </w:r>
      <w:r w:rsidR="00595423">
        <w:t>497/</w:t>
      </w:r>
      <w:r w:rsidR="00905BEF">
        <w:t>2013 </w:t>
      </w:r>
      <w:r w:rsidR="00595423">
        <w:t>Z</w:t>
      </w:r>
      <w:r w:rsidR="00905BEF">
        <w:t>. </w:t>
      </w:r>
      <w:r w:rsidR="00595423">
        <w:t>z., ktorým sa ustanovuje spôsob výpočtu mýta, výška sadzby mýta a systém zliav zo sadzieb mýta za užívanie vymedzených úsekov pozemných komunikácií, v znení neskorších predpisov.</w:t>
      </w:r>
      <w:r w:rsidR="008C550F">
        <w:t xml:space="preserve"> Náklady Správcu výberu mýta vynakladané v súvislosti s implementáciou a prevádzkou EETS </w:t>
      </w:r>
      <w:r w:rsidR="0049636E">
        <w:t>budú</w:t>
      </w:r>
      <w:r w:rsidR="008C550F">
        <w:t xml:space="preserve"> zahrnuté ako oprávnený náklad do kalkulácie mýtnych sadzieb. </w:t>
      </w:r>
    </w:p>
    <w:p w14:paraId="643E273C" w14:textId="10636EF8" w:rsidR="00E3171B" w:rsidRDefault="001C5DA1" w:rsidP="00474E69">
      <w:r>
        <w:t xml:space="preserve">Poskytovatelia znášajú viaceré náklady spojené so zabezpečením výberu mýta, a jednou z významných nákladových položiek je odmena za platobné transakcie realizované palivovými kartami. </w:t>
      </w:r>
      <w:r w:rsidR="000E6C12">
        <w:t>Navrhnutý biznis model vo variant</w:t>
      </w:r>
      <w:r w:rsidR="0089393C">
        <w:t>e</w:t>
      </w:r>
      <w:r w:rsidR="000E6C12">
        <w:t xml:space="preserve"> 1 prináša úsporu na strane </w:t>
      </w:r>
      <w:r w:rsidR="00B324B6">
        <w:t>Správc</w:t>
      </w:r>
      <w:r w:rsidR="00172AE7">
        <w:t>u výberu mýta, lebo alikvotnú časť nákladov na palivové karty budú znášať poskytovatelia EETS.</w:t>
      </w:r>
    </w:p>
    <w:p w14:paraId="51A4ED45" w14:textId="77777777" w:rsidR="00366F12" w:rsidRDefault="00366F12" w:rsidP="00474E69"/>
    <w:p w14:paraId="213014D2" w14:textId="1BC84241" w:rsidR="008915A2" w:rsidRDefault="008915A2" w:rsidP="008915A2">
      <w:pPr>
        <w:pStyle w:val="Heading3"/>
      </w:pPr>
      <w:bookmarkStart w:id="45" w:name="_Toc87348714"/>
      <w:r>
        <w:t>Podiel  poskytovateľov EETS na výbere mýta</w:t>
      </w:r>
      <w:bookmarkEnd w:id="45"/>
    </w:p>
    <w:p w14:paraId="4C9B81D2" w14:textId="1476289D" w:rsidR="008915A2" w:rsidRDefault="008915A2" w:rsidP="008915A2">
      <w:r>
        <w:t xml:space="preserve">Na účely tejto štúdie a na porovnanie jednotlivých variantov riešenia bol zvolený postupný </w:t>
      </w:r>
      <w:r w:rsidR="0049636E">
        <w:t xml:space="preserve">modelový </w:t>
      </w:r>
      <w:r>
        <w:t>nábeh podielu poskytovateľov EETS na výbere mýta.</w:t>
      </w:r>
    </w:p>
    <w:p w14:paraId="04D044B6" w14:textId="13E12935" w:rsidR="008915A2" w:rsidRDefault="008915A2" w:rsidP="00FA6605">
      <w:pPr>
        <w:pStyle w:val="Caption"/>
      </w:pPr>
      <w:bookmarkStart w:id="46" w:name="_Ref71617295"/>
      <w:r>
        <w:t xml:space="preserve">Tab. </w:t>
      </w:r>
      <w:r>
        <w:fldChar w:fldCharType="begin"/>
      </w:r>
      <w:r>
        <w:instrText xml:space="preserve"> SEQ Tab. \* ARABIC </w:instrText>
      </w:r>
      <w:r>
        <w:fldChar w:fldCharType="separate"/>
      </w:r>
      <w:r w:rsidR="00A86720">
        <w:rPr>
          <w:noProof/>
        </w:rPr>
        <w:t>4</w:t>
      </w:r>
      <w:r>
        <w:fldChar w:fldCharType="end"/>
      </w:r>
      <w:bookmarkEnd w:id="46"/>
      <w:r>
        <w:t xml:space="preserve"> - Podiel poskytovateľov EETS na výbere mýta, variant 1</w:t>
      </w:r>
    </w:p>
    <w:tbl>
      <w:tblPr>
        <w:tblW w:w="92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136"/>
        <w:gridCol w:w="1336"/>
        <w:gridCol w:w="1296"/>
        <w:gridCol w:w="1316"/>
        <w:gridCol w:w="1196"/>
      </w:tblGrid>
      <w:tr w:rsidR="008915A2" w:rsidRPr="00CA62D9" w14:paraId="48B1C3F7" w14:textId="77777777" w:rsidTr="008915A2">
        <w:trPr>
          <w:trHeight w:val="255"/>
        </w:trPr>
        <w:tc>
          <w:tcPr>
            <w:tcW w:w="2977" w:type="dxa"/>
            <w:shd w:val="clear" w:color="000000" w:fill="BDD7EE"/>
            <w:noWrap/>
            <w:vAlign w:val="bottom"/>
            <w:hideMark/>
          </w:tcPr>
          <w:p w14:paraId="44E8B16A" w14:textId="77777777" w:rsidR="008915A2" w:rsidRPr="00CA62D9" w:rsidRDefault="008915A2" w:rsidP="008915A2">
            <w:pPr>
              <w:spacing w:before="0" w:after="0" w:line="240" w:lineRule="auto"/>
              <w:jc w:val="left"/>
              <w:rPr>
                <w:rFonts w:ascii="Calibri" w:hAnsi="Calibri"/>
                <w:color w:val="000000"/>
                <w:szCs w:val="20"/>
              </w:rPr>
            </w:pPr>
            <w:r w:rsidRPr="00CA62D9">
              <w:rPr>
                <w:rFonts w:ascii="Calibri" w:hAnsi="Calibri"/>
                <w:color w:val="000000"/>
                <w:szCs w:val="20"/>
              </w:rPr>
              <w:t>Položka</w:t>
            </w:r>
          </w:p>
        </w:tc>
        <w:tc>
          <w:tcPr>
            <w:tcW w:w="1136" w:type="dxa"/>
            <w:shd w:val="clear" w:color="000000" w:fill="BDD7EE"/>
            <w:noWrap/>
            <w:vAlign w:val="bottom"/>
            <w:hideMark/>
          </w:tcPr>
          <w:p w14:paraId="2DEB0B4C" w14:textId="77777777" w:rsidR="008915A2" w:rsidRPr="00CA62D9" w:rsidRDefault="008915A2" w:rsidP="008915A2">
            <w:pPr>
              <w:spacing w:before="0" w:after="0" w:line="240" w:lineRule="auto"/>
              <w:jc w:val="center"/>
              <w:rPr>
                <w:rFonts w:ascii="Calibri" w:hAnsi="Calibri"/>
                <w:color w:val="000000"/>
                <w:szCs w:val="20"/>
              </w:rPr>
            </w:pPr>
            <w:r w:rsidRPr="00CA62D9">
              <w:rPr>
                <w:rFonts w:ascii="Calibri" w:hAnsi="Calibri"/>
                <w:color w:val="000000"/>
                <w:szCs w:val="20"/>
              </w:rPr>
              <w:t>2022</w:t>
            </w:r>
          </w:p>
        </w:tc>
        <w:tc>
          <w:tcPr>
            <w:tcW w:w="1336" w:type="dxa"/>
            <w:shd w:val="clear" w:color="000000" w:fill="BDD7EE"/>
            <w:noWrap/>
            <w:vAlign w:val="bottom"/>
            <w:hideMark/>
          </w:tcPr>
          <w:p w14:paraId="2D1D29A5" w14:textId="77777777" w:rsidR="008915A2" w:rsidRPr="00CA62D9" w:rsidRDefault="008915A2" w:rsidP="008915A2">
            <w:pPr>
              <w:spacing w:before="0" w:after="0" w:line="240" w:lineRule="auto"/>
              <w:jc w:val="center"/>
              <w:rPr>
                <w:rFonts w:ascii="Calibri" w:hAnsi="Calibri"/>
                <w:color w:val="000000"/>
                <w:szCs w:val="20"/>
              </w:rPr>
            </w:pPr>
            <w:r w:rsidRPr="00CA62D9">
              <w:rPr>
                <w:rFonts w:ascii="Calibri" w:hAnsi="Calibri"/>
                <w:color w:val="000000"/>
                <w:szCs w:val="20"/>
              </w:rPr>
              <w:t>2023</w:t>
            </w:r>
          </w:p>
        </w:tc>
        <w:tc>
          <w:tcPr>
            <w:tcW w:w="1296" w:type="dxa"/>
            <w:shd w:val="clear" w:color="000000" w:fill="BDD7EE"/>
            <w:noWrap/>
            <w:vAlign w:val="bottom"/>
            <w:hideMark/>
          </w:tcPr>
          <w:p w14:paraId="52D359E9" w14:textId="77777777" w:rsidR="008915A2" w:rsidRPr="00CA62D9" w:rsidRDefault="008915A2" w:rsidP="008915A2">
            <w:pPr>
              <w:spacing w:before="0" w:after="0" w:line="240" w:lineRule="auto"/>
              <w:jc w:val="center"/>
              <w:rPr>
                <w:rFonts w:ascii="Calibri" w:hAnsi="Calibri"/>
                <w:color w:val="000000"/>
                <w:szCs w:val="20"/>
              </w:rPr>
            </w:pPr>
            <w:r w:rsidRPr="00CA62D9">
              <w:rPr>
                <w:rFonts w:ascii="Calibri" w:hAnsi="Calibri"/>
                <w:color w:val="000000"/>
                <w:szCs w:val="20"/>
              </w:rPr>
              <w:t>2024</w:t>
            </w:r>
          </w:p>
        </w:tc>
        <w:tc>
          <w:tcPr>
            <w:tcW w:w="1316" w:type="dxa"/>
            <w:shd w:val="clear" w:color="000000" w:fill="BDD7EE"/>
            <w:noWrap/>
            <w:vAlign w:val="bottom"/>
            <w:hideMark/>
          </w:tcPr>
          <w:p w14:paraId="112D179D" w14:textId="77777777" w:rsidR="008915A2" w:rsidRPr="00CA62D9" w:rsidRDefault="008915A2" w:rsidP="008915A2">
            <w:pPr>
              <w:spacing w:before="0" w:after="0" w:line="240" w:lineRule="auto"/>
              <w:jc w:val="center"/>
              <w:rPr>
                <w:rFonts w:ascii="Calibri" w:hAnsi="Calibri"/>
                <w:color w:val="000000"/>
                <w:szCs w:val="20"/>
              </w:rPr>
            </w:pPr>
            <w:r w:rsidRPr="00CA62D9">
              <w:rPr>
                <w:rFonts w:ascii="Calibri" w:hAnsi="Calibri"/>
                <w:color w:val="000000"/>
                <w:szCs w:val="20"/>
              </w:rPr>
              <w:t>2025</w:t>
            </w:r>
          </w:p>
        </w:tc>
        <w:tc>
          <w:tcPr>
            <w:tcW w:w="1196" w:type="dxa"/>
            <w:shd w:val="clear" w:color="000000" w:fill="BDD7EE"/>
            <w:noWrap/>
            <w:vAlign w:val="bottom"/>
            <w:hideMark/>
          </w:tcPr>
          <w:p w14:paraId="09EF9EF5" w14:textId="77777777" w:rsidR="008915A2" w:rsidRPr="00CA62D9" w:rsidRDefault="008915A2" w:rsidP="008915A2">
            <w:pPr>
              <w:spacing w:before="0" w:after="0" w:line="240" w:lineRule="auto"/>
              <w:jc w:val="center"/>
              <w:rPr>
                <w:rFonts w:ascii="Calibri" w:hAnsi="Calibri"/>
                <w:color w:val="000000"/>
                <w:szCs w:val="20"/>
              </w:rPr>
            </w:pPr>
            <w:r w:rsidRPr="00CA62D9">
              <w:rPr>
                <w:rFonts w:ascii="Calibri" w:hAnsi="Calibri"/>
                <w:color w:val="000000"/>
                <w:szCs w:val="20"/>
              </w:rPr>
              <w:t>2026</w:t>
            </w:r>
          </w:p>
        </w:tc>
      </w:tr>
      <w:tr w:rsidR="0029745D" w:rsidRPr="00CA62D9" w14:paraId="29226E7D" w14:textId="77777777" w:rsidTr="0037598E">
        <w:trPr>
          <w:trHeight w:val="255"/>
        </w:trPr>
        <w:tc>
          <w:tcPr>
            <w:tcW w:w="2977" w:type="dxa"/>
            <w:shd w:val="clear" w:color="000000" w:fill="DDEBF7"/>
            <w:noWrap/>
            <w:vAlign w:val="bottom"/>
            <w:hideMark/>
          </w:tcPr>
          <w:p w14:paraId="66B7C5F3" w14:textId="77777777" w:rsidR="0029745D" w:rsidRPr="00CA62D9" w:rsidRDefault="0029745D" w:rsidP="0029745D">
            <w:pPr>
              <w:spacing w:before="0" w:after="0" w:line="240" w:lineRule="auto"/>
              <w:jc w:val="left"/>
              <w:rPr>
                <w:rFonts w:ascii="Calibri" w:hAnsi="Calibri"/>
                <w:color w:val="000000"/>
                <w:szCs w:val="20"/>
              </w:rPr>
            </w:pPr>
            <w:r>
              <w:rPr>
                <w:rFonts w:ascii="Calibri" w:hAnsi="Calibri"/>
                <w:color w:val="000000"/>
                <w:szCs w:val="20"/>
              </w:rPr>
              <w:t>Podiel poskytovateľov EETS</w:t>
            </w:r>
          </w:p>
        </w:tc>
        <w:tc>
          <w:tcPr>
            <w:tcW w:w="1136" w:type="dxa"/>
            <w:shd w:val="clear" w:color="auto" w:fill="auto"/>
            <w:noWrap/>
          </w:tcPr>
          <w:p w14:paraId="3331F8B5" w14:textId="5A1E8FB0" w:rsidR="0029745D" w:rsidRPr="0029745D" w:rsidRDefault="0029745D" w:rsidP="0029745D">
            <w:pPr>
              <w:spacing w:before="0" w:after="0" w:line="240" w:lineRule="auto"/>
              <w:jc w:val="right"/>
              <w:rPr>
                <w:rFonts w:asciiTheme="minorHAnsi" w:hAnsiTheme="minorHAnsi"/>
                <w:color w:val="000000"/>
                <w:szCs w:val="20"/>
              </w:rPr>
            </w:pPr>
            <w:r w:rsidRPr="0029745D">
              <w:rPr>
                <w:rFonts w:asciiTheme="minorHAnsi" w:hAnsiTheme="minorHAnsi"/>
              </w:rPr>
              <w:t>5</w:t>
            </w:r>
            <w:r>
              <w:rPr>
                <w:rFonts w:asciiTheme="minorHAnsi" w:hAnsiTheme="minorHAnsi"/>
              </w:rPr>
              <w:t xml:space="preserve"> </w:t>
            </w:r>
            <w:r w:rsidRPr="0029745D">
              <w:rPr>
                <w:rFonts w:asciiTheme="minorHAnsi" w:hAnsiTheme="minorHAnsi"/>
              </w:rPr>
              <w:t>%</w:t>
            </w:r>
          </w:p>
        </w:tc>
        <w:tc>
          <w:tcPr>
            <w:tcW w:w="1336" w:type="dxa"/>
            <w:shd w:val="clear" w:color="auto" w:fill="auto"/>
            <w:noWrap/>
          </w:tcPr>
          <w:p w14:paraId="1F1F1425" w14:textId="6CA7E1C2" w:rsidR="0029745D" w:rsidRPr="0029745D" w:rsidRDefault="0029745D" w:rsidP="0029745D">
            <w:pPr>
              <w:spacing w:before="0" w:after="0" w:line="240" w:lineRule="auto"/>
              <w:jc w:val="right"/>
              <w:rPr>
                <w:rFonts w:asciiTheme="minorHAnsi" w:hAnsiTheme="minorHAnsi"/>
                <w:color w:val="000000"/>
                <w:szCs w:val="20"/>
              </w:rPr>
            </w:pPr>
            <w:r w:rsidRPr="0029745D">
              <w:rPr>
                <w:rFonts w:asciiTheme="minorHAnsi" w:hAnsiTheme="minorHAnsi"/>
              </w:rPr>
              <w:t>10</w:t>
            </w:r>
            <w:r>
              <w:rPr>
                <w:rFonts w:asciiTheme="minorHAnsi" w:hAnsiTheme="minorHAnsi"/>
              </w:rPr>
              <w:t xml:space="preserve"> </w:t>
            </w:r>
            <w:r w:rsidRPr="0029745D">
              <w:rPr>
                <w:rFonts w:asciiTheme="minorHAnsi" w:hAnsiTheme="minorHAnsi"/>
              </w:rPr>
              <w:t>%</w:t>
            </w:r>
          </w:p>
        </w:tc>
        <w:tc>
          <w:tcPr>
            <w:tcW w:w="1296" w:type="dxa"/>
            <w:shd w:val="clear" w:color="auto" w:fill="auto"/>
            <w:noWrap/>
          </w:tcPr>
          <w:p w14:paraId="0654817F" w14:textId="2011A2AE" w:rsidR="0029745D" w:rsidRPr="0029745D" w:rsidRDefault="0029745D" w:rsidP="0029745D">
            <w:pPr>
              <w:spacing w:before="0" w:after="0" w:line="240" w:lineRule="auto"/>
              <w:jc w:val="right"/>
              <w:rPr>
                <w:rFonts w:asciiTheme="minorHAnsi" w:hAnsiTheme="minorHAnsi"/>
                <w:color w:val="000000"/>
                <w:szCs w:val="20"/>
              </w:rPr>
            </w:pPr>
            <w:r w:rsidRPr="0029745D">
              <w:rPr>
                <w:rFonts w:asciiTheme="minorHAnsi" w:hAnsiTheme="minorHAnsi"/>
              </w:rPr>
              <w:t>20</w:t>
            </w:r>
            <w:r>
              <w:rPr>
                <w:rFonts w:asciiTheme="minorHAnsi" w:hAnsiTheme="minorHAnsi"/>
              </w:rPr>
              <w:t xml:space="preserve"> </w:t>
            </w:r>
            <w:r w:rsidRPr="0029745D">
              <w:rPr>
                <w:rFonts w:asciiTheme="minorHAnsi" w:hAnsiTheme="minorHAnsi"/>
              </w:rPr>
              <w:t>%</w:t>
            </w:r>
          </w:p>
        </w:tc>
        <w:tc>
          <w:tcPr>
            <w:tcW w:w="1316" w:type="dxa"/>
            <w:shd w:val="clear" w:color="auto" w:fill="auto"/>
            <w:noWrap/>
          </w:tcPr>
          <w:p w14:paraId="72F8A57F" w14:textId="24D4FB2F" w:rsidR="0029745D" w:rsidRPr="0029745D" w:rsidRDefault="0029745D" w:rsidP="0029745D">
            <w:pPr>
              <w:spacing w:before="0" w:after="0" w:line="240" w:lineRule="auto"/>
              <w:jc w:val="right"/>
              <w:rPr>
                <w:rFonts w:asciiTheme="minorHAnsi" w:hAnsiTheme="minorHAnsi"/>
                <w:color w:val="000000"/>
                <w:szCs w:val="20"/>
              </w:rPr>
            </w:pPr>
            <w:r w:rsidRPr="0029745D">
              <w:rPr>
                <w:rFonts w:asciiTheme="minorHAnsi" w:hAnsiTheme="minorHAnsi"/>
              </w:rPr>
              <w:t>30</w:t>
            </w:r>
            <w:r>
              <w:rPr>
                <w:rFonts w:asciiTheme="minorHAnsi" w:hAnsiTheme="minorHAnsi"/>
              </w:rPr>
              <w:t xml:space="preserve"> </w:t>
            </w:r>
            <w:r w:rsidRPr="0029745D">
              <w:rPr>
                <w:rFonts w:asciiTheme="minorHAnsi" w:hAnsiTheme="minorHAnsi"/>
              </w:rPr>
              <w:t>%</w:t>
            </w:r>
          </w:p>
        </w:tc>
        <w:tc>
          <w:tcPr>
            <w:tcW w:w="1196" w:type="dxa"/>
            <w:shd w:val="clear" w:color="auto" w:fill="auto"/>
            <w:noWrap/>
          </w:tcPr>
          <w:p w14:paraId="47F1FA76" w14:textId="4568983A" w:rsidR="0029745D" w:rsidRPr="0029745D" w:rsidRDefault="0029745D" w:rsidP="0029745D">
            <w:pPr>
              <w:spacing w:before="0" w:after="0" w:line="240" w:lineRule="auto"/>
              <w:jc w:val="right"/>
              <w:rPr>
                <w:rFonts w:asciiTheme="minorHAnsi" w:hAnsiTheme="minorHAnsi"/>
                <w:color w:val="000000"/>
                <w:szCs w:val="20"/>
              </w:rPr>
            </w:pPr>
            <w:r>
              <w:rPr>
                <w:rFonts w:asciiTheme="minorHAnsi" w:hAnsiTheme="minorHAnsi"/>
              </w:rPr>
              <w:t xml:space="preserve">35 </w:t>
            </w:r>
            <w:r w:rsidRPr="0029745D">
              <w:rPr>
                <w:rFonts w:asciiTheme="minorHAnsi" w:hAnsiTheme="minorHAnsi"/>
              </w:rPr>
              <w:t>%</w:t>
            </w:r>
          </w:p>
        </w:tc>
      </w:tr>
      <w:tr w:rsidR="008915A2" w:rsidRPr="00CA62D9" w14:paraId="1369CD08" w14:textId="77777777" w:rsidTr="008915A2">
        <w:trPr>
          <w:trHeight w:val="255"/>
        </w:trPr>
        <w:tc>
          <w:tcPr>
            <w:tcW w:w="2977" w:type="dxa"/>
            <w:shd w:val="clear" w:color="000000" w:fill="DDEBF7"/>
            <w:noWrap/>
            <w:vAlign w:val="bottom"/>
            <w:hideMark/>
          </w:tcPr>
          <w:p w14:paraId="28F58149" w14:textId="77777777" w:rsidR="008915A2" w:rsidRPr="00CA62D9" w:rsidRDefault="008915A2" w:rsidP="008915A2">
            <w:pPr>
              <w:spacing w:before="0" w:after="0" w:line="240" w:lineRule="auto"/>
              <w:jc w:val="left"/>
              <w:rPr>
                <w:rFonts w:ascii="Calibri" w:hAnsi="Calibri"/>
                <w:color w:val="000000"/>
                <w:szCs w:val="20"/>
              </w:rPr>
            </w:pPr>
            <w:r>
              <w:rPr>
                <w:rFonts w:ascii="Calibri" w:hAnsi="Calibri"/>
                <w:color w:val="000000"/>
                <w:szCs w:val="20"/>
              </w:rPr>
              <w:t>Podiel SkyTollu na výbere mýta</w:t>
            </w:r>
          </w:p>
        </w:tc>
        <w:tc>
          <w:tcPr>
            <w:tcW w:w="1136" w:type="dxa"/>
            <w:shd w:val="clear" w:color="auto" w:fill="auto"/>
            <w:noWrap/>
            <w:vAlign w:val="bottom"/>
          </w:tcPr>
          <w:p w14:paraId="6D6D991F" w14:textId="62B11F8E" w:rsidR="008915A2" w:rsidRPr="00CA62D9" w:rsidRDefault="0029745D" w:rsidP="008915A2">
            <w:pPr>
              <w:spacing w:before="0" w:after="0" w:line="240" w:lineRule="auto"/>
              <w:jc w:val="right"/>
              <w:rPr>
                <w:rFonts w:ascii="Calibri" w:hAnsi="Calibri"/>
                <w:color w:val="000000"/>
                <w:szCs w:val="20"/>
              </w:rPr>
            </w:pPr>
            <w:r>
              <w:rPr>
                <w:rFonts w:ascii="Calibri" w:hAnsi="Calibri"/>
                <w:color w:val="000000"/>
                <w:szCs w:val="20"/>
              </w:rPr>
              <w:t>95</w:t>
            </w:r>
            <w:r w:rsidR="008915A2">
              <w:rPr>
                <w:rFonts w:ascii="Calibri" w:hAnsi="Calibri"/>
                <w:color w:val="000000"/>
                <w:szCs w:val="20"/>
              </w:rPr>
              <w:t xml:space="preserve"> %</w:t>
            </w:r>
          </w:p>
        </w:tc>
        <w:tc>
          <w:tcPr>
            <w:tcW w:w="1336" w:type="dxa"/>
            <w:shd w:val="clear" w:color="auto" w:fill="auto"/>
            <w:noWrap/>
            <w:vAlign w:val="bottom"/>
          </w:tcPr>
          <w:p w14:paraId="20981EAB" w14:textId="50AAA50B" w:rsidR="008915A2" w:rsidRPr="00CA62D9" w:rsidRDefault="0029745D" w:rsidP="008915A2">
            <w:pPr>
              <w:spacing w:before="0" w:after="0" w:line="240" w:lineRule="auto"/>
              <w:jc w:val="right"/>
              <w:rPr>
                <w:rFonts w:ascii="Calibri" w:hAnsi="Calibri"/>
                <w:color w:val="000000"/>
                <w:szCs w:val="20"/>
              </w:rPr>
            </w:pPr>
            <w:r>
              <w:rPr>
                <w:rFonts w:ascii="Calibri" w:hAnsi="Calibri"/>
                <w:color w:val="000000"/>
                <w:szCs w:val="20"/>
              </w:rPr>
              <w:t>9</w:t>
            </w:r>
            <w:r w:rsidR="008915A2">
              <w:rPr>
                <w:rFonts w:ascii="Calibri" w:hAnsi="Calibri"/>
                <w:color w:val="000000"/>
                <w:szCs w:val="20"/>
              </w:rPr>
              <w:t>0 %</w:t>
            </w:r>
          </w:p>
        </w:tc>
        <w:tc>
          <w:tcPr>
            <w:tcW w:w="1296" w:type="dxa"/>
            <w:shd w:val="clear" w:color="auto" w:fill="auto"/>
            <w:noWrap/>
            <w:vAlign w:val="bottom"/>
          </w:tcPr>
          <w:p w14:paraId="06DD48E3" w14:textId="6DB1EAD5" w:rsidR="008915A2" w:rsidRPr="00CA62D9" w:rsidRDefault="0029745D" w:rsidP="008915A2">
            <w:pPr>
              <w:spacing w:before="0" w:after="0" w:line="240" w:lineRule="auto"/>
              <w:jc w:val="right"/>
              <w:rPr>
                <w:rFonts w:ascii="Calibri" w:hAnsi="Calibri"/>
                <w:color w:val="000000"/>
                <w:szCs w:val="20"/>
              </w:rPr>
            </w:pPr>
            <w:r>
              <w:rPr>
                <w:rFonts w:ascii="Calibri" w:hAnsi="Calibri"/>
                <w:color w:val="000000"/>
                <w:szCs w:val="20"/>
              </w:rPr>
              <w:t>8</w:t>
            </w:r>
            <w:r w:rsidR="008915A2">
              <w:rPr>
                <w:rFonts w:ascii="Calibri" w:hAnsi="Calibri"/>
                <w:color w:val="000000"/>
                <w:szCs w:val="20"/>
              </w:rPr>
              <w:t>0 %</w:t>
            </w:r>
          </w:p>
        </w:tc>
        <w:tc>
          <w:tcPr>
            <w:tcW w:w="1316" w:type="dxa"/>
            <w:shd w:val="clear" w:color="auto" w:fill="auto"/>
            <w:noWrap/>
            <w:vAlign w:val="bottom"/>
          </w:tcPr>
          <w:p w14:paraId="7241D9DE" w14:textId="63FF758F" w:rsidR="008915A2" w:rsidRPr="00CA62D9" w:rsidRDefault="0029745D" w:rsidP="008915A2">
            <w:pPr>
              <w:spacing w:before="0" w:after="0" w:line="240" w:lineRule="auto"/>
              <w:jc w:val="right"/>
              <w:rPr>
                <w:rFonts w:ascii="Calibri" w:hAnsi="Calibri"/>
                <w:color w:val="000000"/>
                <w:szCs w:val="20"/>
              </w:rPr>
            </w:pPr>
            <w:r>
              <w:rPr>
                <w:rFonts w:ascii="Calibri" w:hAnsi="Calibri"/>
                <w:color w:val="000000"/>
                <w:szCs w:val="20"/>
              </w:rPr>
              <w:t>7</w:t>
            </w:r>
            <w:r w:rsidR="008915A2">
              <w:rPr>
                <w:rFonts w:ascii="Calibri" w:hAnsi="Calibri"/>
                <w:color w:val="000000"/>
                <w:szCs w:val="20"/>
              </w:rPr>
              <w:t>0 %</w:t>
            </w:r>
          </w:p>
        </w:tc>
        <w:tc>
          <w:tcPr>
            <w:tcW w:w="1196" w:type="dxa"/>
            <w:shd w:val="clear" w:color="auto" w:fill="auto"/>
            <w:noWrap/>
            <w:vAlign w:val="bottom"/>
          </w:tcPr>
          <w:p w14:paraId="63501CB2" w14:textId="629E75C1" w:rsidR="008915A2" w:rsidRPr="00CA62D9" w:rsidRDefault="0029745D" w:rsidP="008915A2">
            <w:pPr>
              <w:spacing w:before="0" w:after="0" w:line="240" w:lineRule="auto"/>
              <w:jc w:val="right"/>
              <w:rPr>
                <w:rFonts w:ascii="Calibri" w:hAnsi="Calibri"/>
                <w:color w:val="000000"/>
                <w:szCs w:val="20"/>
              </w:rPr>
            </w:pPr>
            <w:r>
              <w:rPr>
                <w:rFonts w:ascii="Calibri" w:hAnsi="Calibri"/>
                <w:color w:val="000000"/>
                <w:szCs w:val="20"/>
              </w:rPr>
              <w:t>65</w:t>
            </w:r>
            <w:r w:rsidR="008915A2">
              <w:rPr>
                <w:rFonts w:ascii="Calibri" w:hAnsi="Calibri"/>
                <w:color w:val="000000"/>
                <w:szCs w:val="20"/>
              </w:rPr>
              <w:t xml:space="preserve"> %</w:t>
            </w:r>
          </w:p>
        </w:tc>
      </w:tr>
    </w:tbl>
    <w:p w14:paraId="0277BBFD" w14:textId="77777777" w:rsidR="00366F12" w:rsidRDefault="00366F12" w:rsidP="00366F12">
      <w:bookmarkStart w:id="47" w:name="_Ref74304949"/>
    </w:p>
    <w:p w14:paraId="4D385E74" w14:textId="165CD583" w:rsidR="008915A2" w:rsidRDefault="008915A2" w:rsidP="008915A2">
      <w:pPr>
        <w:pStyle w:val="Heading3"/>
      </w:pPr>
      <w:bookmarkStart w:id="48" w:name="_Toc87348715"/>
      <w:r>
        <w:t>Náklady</w:t>
      </w:r>
      <w:bookmarkEnd w:id="47"/>
      <w:bookmarkEnd w:id="48"/>
    </w:p>
    <w:p w14:paraId="068C67E7" w14:textId="6FA16184" w:rsidR="008915A2" w:rsidRDefault="008915A2" w:rsidP="008915A2">
      <w:r>
        <w:t xml:space="preserve">Náklady variantu </w:t>
      </w:r>
      <w:r w:rsidR="0029745D">
        <w:t xml:space="preserve">1 rovnako ako v prípade </w:t>
      </w:r>
      <w:r w:rsidR="00905BEF">
        <w:t xml:space="preserve">nulového variantu (viď čl. </w:t>
      </w:r>
      <w:r w:rsidR="00905BEF">
        <w:fldChar w:fldCharType="begin"/>
      </w:r>
      <w:r w:rsidR="00905BEF">
        <w:instrText xml:space="preserve"> REF _Ref73105194 \r \p \h </w:instrText>
      </w:r>
      <w:r w:rsidR="00905BEF">
        <w:fldChar w:fldCharType="separate"/>
      </w:r>
      <w:r w:rsidR="00A86720">
        <w:t>4.1.2 vyššie</w:t>
      </w:r>
      <w:r w:rsidR="00905BEF">
        <w:fldChar w:fldCharType="end"/>
      </w:r>
      <w:r w:rsidR="00905BEF">
        <w:t xml:space="preserve">) </w:t>
      </w:r>
      <w:r>
        <w:t>zahŕňajú odmeny spoločnosti SkyToll</w:t>
      </w:r>
      <w:r w:rsidR="0029745D">
        <w:t>,</w:t>
      </w:r>
      <w:r>
        <w:t xml:space="preserve"> odmeny </w:t>
      </w:r>
      <w:r w:rsidR="0049636E">
        <w:t xml:space="preserve">za služby clearingového centra a platobnej infraštruktúry pre úhrady prostredníctvom palivových a bankových kariet, a náklady za iné služby (technická pomoc, projektové riadenie). </w:t>
      </w:r>
      <w:r w:rsidR="0029745D">
        <w:t xml:space="preserve">K tomu sa pripočítajú náklady za služby poskytovateľov EETS stanovené na základe metodiky </w:t>
      </w:r>
      <w:r w:rsidR="00905BEF">
        <w:t xml:space="preserve">ich odmeňovania </w:t>
      </w:r>
      <w:r w:rsidR="0029745D">
        <w:t xml:space="preserve">navrhovanej pre tento </w:t>
      </w:r>
      <w:r w:rsidR="0049636E">
        <w:t>variant </w:t>
      </w:r>
      <w:r w:rsidR="0029745D">
        <w:t>1.</w:t>
      </w:r>
    </w:p>
    <w:p w14:paraId="537AC1A3" w14:textId="1D373D7F" w:rsidR="008915A2" w:rsidRDefault="008915A2" w:rsidP="008915A2">
      <w:r>
        <w:t xml:space="preserve">Odmena SkyToll sa </w:t>
      </w:r>
      <w:r w:rsidR="0029745D">
        <w:t>navyšuje o</w:t>
      </w:r>
      <w:r>
        <w:t> nižšie uveden</w:t>
      </w:r>
      <w:r w:rsidR="0029745D">
        <w:t>é</w:t>
      </w:r>
      <w:r>
        <w:t xml:space="preserve"> polož</w:t>
      </w:r>
      <w:r w:rsidR="0029745D">
        <w:t>ky, ktoré bezprostredne súvisia s realizáciu projektu</w:t>
      </w:r>
      <w:r>
        <w:t xml:space="preserve">: </w:t>
      </w:r>
    </w:p>
    <w:p w14:paraId="15C467BC" w14:textId="660DEBA9" w:rsidR="0049636E" w:rsidRDefault="0049636E" w:rsidP="00480B97">
      <w:pPr>
        <w:pStyle w:val="ListParagraph"/>
        <w:numPr>
          <w:ilvl w:val="0"/>
          <w:numId w:val="26"/>
        </w:numPr>
      </w:pPr>
      <w:r w:rsidRPr="0049636E">
        <w:t xml:space="preserve">Zhotovenie a dodávka infraštruktúry rozhrania EETS do vlastníctva </w:t>
      </w:r>
      <w:r>
        <w:t>NDS,</w:t>
      </w:r>
    </w:p>
    <w:p w14:paraId="27637750" w14:textId="46E38242" w:rsidR="008915A2" w:rsidRDefault="0029745D" w:rsidP="00480B97">
      <w:pPr>
        <w:pStyle w:val="ListParagraph"/>
        <w:numPr>
          <w:ilvl w:val="0"/>
          <w:numId w:val="26"/>
        </w:numPr>
      </w:pPr>
      <w:r>
        <w:t xml:space="preserve">realizácia </w:t>
      </w:r>
      <w:r w:rsidR="0049636E">
        <w:t xml:space="preserve">úprav jestvujúcich čiastkových služieb </w:t>
      </w:r>
      <w:r w:rsidR="00DE5625">
        <w:t>Komplexnej služby elektronického výberu mýta</w:t>
      </w:r>
      <w:r w:rsidR="0049636E">
        <w:t xml:space="preserve"> pre podporu procesov EETS,</w:t>
      </w:r>
      <w:r w:rsidR="00DE5625">
        <w:t xml:space="preserve"> </w:t>
      </w:r>
    </w:p>
    <w:p w14:paraId="4373AB7D" w14:textId="2108E875" w:rsidR="0049636E" w:rsidRDefault="0049636E" w:rsidP="00480B97">
      <w:pPr>
        <w:pStyle w:val="ListParagraph"/>
        <w:numPr>
          <w:ilvl w:val="0"/>
          <w:numId w:val="26"/>
        </w:numPr>
      </w:pPr>
      <w:r>
        <w:lastRenderedPageBreak/>
        <w:t>poskytovanie čiastkových služieb</w:t>
      </w:r>
      <w:r w:rsidR="00DE5625">
        <w:t xml:space="preserve"> Komplexnej služby elektronického výberu mýta</w:t>
      </w:r>
      <w:r>
        <w:t xml:space="preserve"> v rozšírenom rozsahu vrátane podpory procesov EETS, prevádzky a údržby </w:t>
      </w:r>
      <w:r w:rsidRPr="0049636E">
        <w:t>infraštruktúry rozhrania EETS</w:t>
      </w:r>
      <w:r>
        <w:t>,</w:t>
      </w:r>
    </w:p>
    <w:p w14:paraId="306FA3FC" w14:textId="76BC925B" w:rsidR="008915A2" w:rsidRDefault="0049636E" w:rsidP="00292AC7">
      <w:r>
        <w:t>v rozsahu a za podmienok stanovených návrhom na uskutočnenie zmeny</w:t>
      </w:r>
      <w:r w:rsidR="00DE5625">
        <w:t xml:space="preserve"> „</w:t>
      </w:r>
      <w:r w:rsidR="00DE5625" w:rsidRPr="0029745D">
        <w:t>Implementácia Európskej služby elektronického výberu mýta do Elektronického mýtneho systému</w:t>
      </w:r>
      <w:r w:rsidR="00F83F6E">
        <w:t>,</w:t>
      </w:r>
      <w:r w:rsidR="00F83F6E" w:rsidRPr="00F83F6E">
        <w:t xml:space="preserve"> </w:t>
      </w:r>
      <w:r w:rsidR="00F83F6E">
        <w:t>CR-00190</w:t>
      </w:r>
      <w:r w:rsidR="00DE5625">
        <w:t>“</w:t>
      </w:r>
      <w:r w:rsidR="007A35D6">
        <w:t>.</w:t>
      </w:r>
    </w:p>
    <w:p w14:paraId="4A54A851" w14:textId="60B4CB4F" w:rsidR="005B0F95" w:rsidRDefault="005B0F95" w:rsidP="008915A2">
      <w:pPr>
        <w:pStyle w:val="Heading4"/>
      </w:pPr>
      <w:bookmarkStart w:id="49" w:name="_Ref71643248"/>
      <w:r>
        <w:t>Náklady implementácie EETS</w:t>
      </w:r>
      <w:bookmarkEnd w:id="49"/>
    </w:p>
    <w:p w14:paraId="12E884BF" w14:textId="2AF8D9EE" w:rsidR="005B0F95" w:rsidRDefault="005B0F95" w:rsidP="005B0F95">
      <w:r>
        <w:t>Náklady implementácie EETS vychádzajú z cenového návrhu spoločnosti SkyToll</w:t>
      </w:r>
      <w:r w:rsidR="007A35D6">
        <w:t>, aktualizovaného k 9.6.2021</w:t>
      </w:r>
      <w:r>
        <w:t>.</w:t>
      </w:r>
    </w:p>
    <w:p w14:paraId="7145AF41" w14:textId="68F146B8" w:rsidR="005B0F95" w:rsidRDefault="005B0F95" w:rsidP="00FA6605">
      <w:pPr>
        <w:pStyle w:val="Caption"/>
      </w:pPr>
      <w:r>
        <w:t xml:space="preserve">Tab. </w:t>
      </w:r>
      <w:r>
        <w:fldChar w:fldCharType="begin"/>
      </w:r>
      <w:r>
        <w:instrText xml:space="preserve"> SEQ Tab. \* ARABIC </w:instrText>
      </w:r>
      <w:r>
        <w:fldChar w:fldCharType="separate"/>
      </w:r>
      <w:r w:rsidR="00A86720">
        <w:rPr>
          <w:noProof/>
        </w:rPr>
        <w:t>5</w:t>
      </w:r>
      <w:r>
        <w:fldChar w:fldCharType="end"/>
      </w:r>
      <w:r>
        <w:t xml:space="preserve"> - Náklady implementácie EETS, cenový návrh SkyToll</w:t>
      </w:r>
    </w:p>
    <w:tbl>
      <w:tblPr>
        <w:tblW w:w="92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960"/>
        <w:gridCol w:w="4300"/>
        <w:gridCol w:w="1977"/>
        <w:gridCol w:w="1977"/>
      </w:tblGrid>
      <w:tr w:rsidR="005B0F95" w:rsidRPr="005B0F95" w14:paraId="1B978F11" w14:textId="77777777" w:rsidTr="00A40297">
        <w:trPr>
          <w:trHeight w:val="510"/>
          <w:tblHeader/>
        </w:trPr>
        <w:tc>
          <w:tcPr>
            <w:tcW w:w="960" w:type="dxa"/>
            <w:shd w:val="clear" w:color="000000" w:fill="BDD7EE"/>
            <w:vAlign w:val="bottom"/>
            <w:hideMark/>
          </w:tcPr>
          <w:p w14:paraId="679BCDF0" w14:textId="77777777" w:rsidR="005B0F95" w:rsidRPr="005B0F95" w:rsidRDefault="005B0F95" w:rsidP="005B0F95">
            <w:pPr>
              <w:spacing w:before="0" w:after="0" w:line="240" w:lineRule="auto"/>
              <w:jc w:val="center"/>
              <w:rPr>
                <w:rFonts w:ascii="Calibri" w:hAnsi="Calibri"/>
                <w:color w:val="000000"/>
                <w:szCs w:val="20"/>
              </w:rPr>
            </w:pPr>
            <w:r w:rsidRPr="005B0F95">
              <w:rPr>
                <w:rFonts w:ascii="Calibri" w:hAnsi="Calibri"/>
                <w:color w:val="000000"/>
                <w:szCs w:val="20"/>
              </w:rPr>
              <w:t xml:space="preserve">Pol. </w:t>
            </w:r>
          </w:p>
        </w:tc>
        <w:tc>
          <w:tcPr>
            <w:tcW w:w="4300" w:type="dxa"/>
            <w:shd w:val="clear" w:color="000000" w:fill="BDD7EE"/>
            <w:vAlign w:val="bottom"/>
            <w:hideMark/>
          </w:tcPr>
          <w:p w14:paraId="5F384D79" w14:textId="77777777" w:rsidR="005B0F95" w:rsidRPr="005B0F95" w:rsidRDefault="005B0F95" w:rsidP="005B0F95">
            <w:pPr>
              <w:spacing w:before="0" w:after="0" w:line="240" w:lineRule="auto"/>
              <w:jc w:val="left"/>
              <w:rPr>
                <w:rFonts w:ascii="Calibri" w:hAnsi="Calibri"/>
                <w:color w:val="000000"/>
                <w:szCs w:val="20"/>
              </w:rPr>
            </w:pPr>
            <w:r w:rsidRPr="005B0F95">
              <w:rPr>
                <w:rFonts w:ascii="Calibri" w:hAnsi="Calibri"/>
                <w:color w:val="000000"/>
                <w:szCs w:val="20"/>
              </w:rPr>
              <w:t>Popis</w:t>
            </w:r>
          </w:p>
        </w:tc>
        <w:tc>
          <w:tcPr>
            <w:tcW w:w="1977" w:type="dxa"/>
            <w:shd w:val="clear" w:color="000000" w:fill="BDD7EE"/>
            <w:vAlign w:val="bottom"/>
            <w:hideMark/>
          </w:tcPr>
          <w:p w14:paraId="0E00FA45" w14:textId="77777777" w:rsidR="005B0F95" w:rsidRPr="005B0F95" w:rsidRDefault="005B0F95" w:rsidP="005B0F95">
            <w:pPr>
              <w:spacing w:before="0" w:after="0" w:line="240" w:lineRule="auto"/>
              <w:jc w:val="left"/>
              <w:rPr>
                <w:rFonts w:ascii="Calibri" w:hAnsi="Calibri"/>
                <w:color w:val="000000"/>
                <w:szCs w:val="20"/>
              </w:rPr>
            </w:pPr>
            <w:r w:rsidRPr="005B0F95">
              <w:rPr>
                <w:rFonts w:ascii="Calibri" w:hAnsi="Calibri"/>
                <w:color w:val="000000"/>
                <w:szCs w:val="20"/>
              </w:rPr>
              <w:t>Náklady realizácie</w:t>
            </w:r>
            <w:r w:rsidRPr="005B0F95">
              <w:rPr>
                <w:rFonts w:ascii="Calibri" w:hAnsi="Calibri"/>
                <w:color w:val="000000"/>
                <w:szCs w:val="20"/>
              </w:rPr>
              <w:br/>
              <w:t>[Eur]</w:t>
            </w:r>
          </w:p>
        </w:tc>
        <w:tc>
          <w:tcPr>
            <w:tcW w:w="1977" w:type="dxa"/>
            <w:shd w:val="clear" w:color="000000" w:fill="BDD7EE"/>
            <w:vAlign w:val="bottom"/>
            <w:hideMark/>
          </w:tcPr>
          <w:p w14:paraId="568DDE57" w14:textId="77777777" w:rsidR="005B0F95" w:rsidRPr="005B0F95" w:rsidRDefault="005B0F95" w:rsidP="005B0F95">
            <w:pPr>
              <w:spacing w:before="0" w:after="0" w:line="240" w:lineRule="auto"/>
              <w:jc w:val="left"/>
              <w:rPr>
                <w:rFonts w:ascii="Calibri" w:hAnsi="Calibri"/>
                <w:color w:val="000000"/>
                <w:szCs w:val="20"/>
              </w:rPr>
            </w:pPr>
            <w:r w:rsidRPr="005B0F95">
              <w:rPr>
                <w:rFonts w:ascii="Calibri" w:hAnsi="Calibri"/>
                <w:color w:val="000000"/>
                <w:szCs w:val="20"/>
              </w:rPr>
              <w:t>Ročné prevádzkové náklady [Eur]</w:t>
            </w:r>
          </w:p>
        </w:tc>
      </w:tr>
      <w:tr w:rsidR="007A35D6" w:rsidRPr="005B0F95" w14:paraId="450A6566" w14:textId="77777777" w:rsidTr="00A40297">
        <w:trPr>
          <w:trHeight w:val="255"/>
        </w:trPr>
        <w:tc>
          <w:tcPr>
            <w:tcW w:w="960" w:type="dxa"/>
            <w:shd w:val="clear" w:color="000000" w:fill="DDEBF7"/>
            <w:noWrap/>
            <w:vAlign w:val="bottom"/>
            <w:hideMark/>
          </w:tcPr>
          <w:p w14:paraId="20584264" w14:textId="77777777" w:rsidR="007A35D6" w:rsidRPr="005B0F95" w:rsidRDefault="007A35D6" w:rsidP="007A35D6">
            <w:pPr>
              <w:spacing w:before="0" w:after="0" w:line="240" w:lineRule="auto"/>
              <w:jc w:val="center"/>
              <w:rPr>
                <w:rFonts w:ascii="Calibri" w:hAnsi="Calibri"/>
                <w:color w:val="000000"/>
                <w:szCs w:val="20"/>
              </w:rPr>
            </w:pPr>
            <w:r w:rsidRPr="005B0F95">
              <w:rPr>
                <w:rFonts w:ascii="Calibri" w:hAnsi="Calibri"/>
                <w:color w:val="000000"/>
                <w:szCs w:val="20"/>
              </w:rPr>
              <w:t>1</w:t>
            </w:r>
          </w:p>
        </w:tc>
        <w:tc>
          <w:tcPr>
            <w:tcW w:w="4300" w:type="dxa"/>
            <w:shd w:val="clear" w:color="000000" w:fill="DDEBF7"/>
            <w:noWrap/>
            <w:vAlign w:val="center"/>
            <w:hideMark/>
          </w:tcPr>
          <w:p w14:paraId="74F7A72E" w14:textId="2D23E770" w:rsidR="007A35D6" w:rsidRPr="005B0F95" w:rsidRDefault="007A35D6" w:rsidP="007A35D6">
            <w:pPr>
              <w:spacing w:before="0" w:after="0" w:line="240" w:lineRule="auto"/>
              <w:jc w:val="left"/>
              <w:rPr>
                <w:rFonts w:ascii="Calibri" w:hAnsi="Calibri"/>
                <w:color w:val="000000"/>
                <w:szCs w:val="20"/>
              </w:rPr>
            </w:pPr>
            <w:r>
              <w:rPr>
                <w:rFonts w:ascii="Calibri" w:hAnsi="Calibri" w:cs="Calibri"/>
                <w:color w:val="000000"/>
                <w:szCs w:val="20"/>
              </w:rPr>
              <w:t>Realizácia rozšírenia EETS</w:t>
            </w:r>
          </w:p>
        </w:tc>
        <w:tc>
          <w:tcPr>
            <w:tcW w:w="1977" w:type="dxa"/>
            <w:shd w:val="clear" w:color="auto" w:fill="auto"/>
            <w:noWrap/>
            <w:vAlign w:val="center"/>
            <w:hideMark/>
          </w:tcPr>
          <w:p w14:paraId="5BD57A08" w14:textId="55729086" w:rsidR="007A35D6" w:rsidRPr="005B0F95" w:rsidRDefault="007A35D6" w:rsidP="007A35D6">
            <w:pPr>
              <w:spacing w:before="0" w:after="0" w:line="240" w:lineRule="auto"/>
              <w:jc w:val="right"/>
              <w:rPr>
                <w:rFonts w:ascii="Calibri" w:hAnsi="Calibri"/>
                <w:color w:val="000000"/>
                <w:szCs w:val="20"/>
              </w:rPr>
            </w:pPr>
            <w:r>
              <w:rPr>
                <w:rFonts w:ascii="Calibri" w:hAnsi="Calibri" w:cs="Calibri"/>
                <w:szCs w:val="20"/>
              </w:rPr>
              <w:t>5 968 558,00</w:t>
            </w:r>
          </w:p>
        </w:tc>
        <w:tc>
          <w:tcPr>
            <w:tcW w:w="1977" w:type="dxa"/>
            <w:shd w:val="clear" w:color="auto" w:fill="auto"/>
            <w:noWrap/>
            <w:vAlign w:val="center"/>
            <w:hideMark/>
          </w:tcPr>
          <w:p w14:paraId="27B77B85" w14:textId="271F408B" w:rsidR="007A35D6" w:rsidRPr="005B0F95" w:rsidRDefault="007A35D6" w:rsidP="007A35D6">
            <w:pPr>
              <w:spacing w:before="0" w:after="0" w:line="240" w:lineRule="auto"/>
              <w:jc w:val="left"/>
              <w:rPr>
                <w:rFonts w:ascii="Calibri" w:hAnsi="Calibri"/>
                <w:color w:val="000000"/>
                <w:szCs w:val="20"/>
              </w:rPr>
            </w:pPr>
            <w:r>
              <w:rPr>
                <w:rFonts w:ascii="Calibri" w:hAnsi="Calibri" w:cs="Calibri"/>
                <w:szCs w:val="20"/>
              </w:rPr>
              <w:t> </w:t>
            </w:r>
          </w:p>
        </w:tc>
      </w:tr>
      <w:tr w:rsidR="007A35D6" w:rsidRPr="005B0F95" w14:paraId="1611B436" w14:textId="77777777" w:rsidTr="00A40297">
        <w:trPr>
          <w:trHeight w:val="255"/>
        </w:trPr>
        <w:tc>
          <w:tcPr>
            <w:tcW w:w="960" w:type="dxa"/>
            <w:shd w:val="clear" w:color="000000" w:fill="DDEBF7"/>
            <w:noWrap/>
            <w:vAlign w:val="bottom"/>
            <w:hideMark/>
          </w:tcPr>
          <w:p w14:paraId="3AE0C9DB" w14:textId="77777777" w:rsidR="007A35D6" w:rsidRPr="005B0F95" w:rsidRDefault="007A35D6" w:rsidP="007A35D6">
            <w:pPr>
              <w:spacing w:before="0" w:after="0" w:line="240" w:lineRule="auto"/>
              <w:jc w:val="center"/>
              <w:rPr>
                <w:rFonts w:ascii="Calibri" w:hAnsi="Calibri"/>
                <w:color w:val="000000"/>
                <w:szCs w:val="20"/>
              </w:rPr>
            </w:pPr>
            <w:r w:rsidRPr="005B0F95">
              <w:rPr>
                <w:rFonts w:ascii="Calibri" w:hAnsi="Calibri"/>
                <w:color w:val="000000"/>
                <w:szCs w:val="20"/>
              </w:rPr>
              <w:t>2</w:t>
            </w:r>
          </w:p>
        </w:tc>
        <w:tc>
          <w:tcPr>
            <w:tcW w:w="4300" w:type="dxa"/>
            <w:shd w:val="clear" w:color="000000" w:fill="DDEBF7"/>
            <w:noWrap/>
            <w:vAlign w:val="center"/>
            <w:hideMark/>
          </w:tcPr>
          <w:p w14:paraId="5CAC9B31" w14:textId="74FBE27E" w:rsidR="007A35D6" w:rsidRPr="005B0F95" w:rsidRDefault="007A35D6" w:rsidP="007A35D6">
            <w:pPr>
              <w:spacing w:before="0" w:after="0" w:line="240" w:lineRule="auto"/>
              <w:jc w:val="left"/>
              <w:rPr>
                <w:rFonts w:ascii="Calibri" w:hAnsi="Calibri"/>
                <w:color w:val="000000"/>
                <w:szCs w:val="20"/>
              </w:rPr>
            </w:pPr>
            <w:r>
              <w:rPr>
                <w:rFonts w:ascii="Calibri" w:hAnsi="Calibri" w:cs="Calibri"/>
                <w:color w:val="000000"/>
                <w:szCs w:val="20"/>
              </w:rPr>
              <w:t>Prevádzka rozšírenia EETS</w:t>
            </w:r>
          </w:p>
        </w:tc>
        <w:tc>
          <w:tcPr>
            <w:tcW w:w="1977" w:type="dxa"/>
            <w:shd w:val="clear" w:color="auto" w:fill="auto"/>
            <w:noWrap/>
            <w:vAlign w:val="center"/>
            <w:hideMark/>
          </w:tcPr>
          <w:p w14:paraId="64CA8F53" w14:textId="7E2CFF58" w:rsidR="007A35D6" w:rsidRPr="005B0F95" w:rsidRDefault="007A35D6" w:rsidP="007A35D6">
            <w:pPr>
              <w:spacing w:before="0" w:after="0" w:line="240" w:lineRule="auto"/>
              <w:jc w:val="left"/>
              <w:rPr>
                <w:rFonts w:ascii="Calibri" w:hAnsi="Calibri"/>
                <w:color w:val="000000"/>
                <w:szCs w:val="20"/>
              </w:rPr>
            </w:pPr>
            <w:r>
              <w:rPr>
                <w:rFonts w:ascii="Calibri" w:hAnsi="Calibri" w:cs="Calibri"/>
                <w:szCs w:val="20"/>
              </w:rPr>
              <w:t> </w:t>
            </w:r>
          </w:p>
        </w:tc>
        <w:tc>
          <w:tcPr>
            <w:tcW w:w="1977" w:type="dxa"/>
            <w:shd w:val="clear" w:color="auto" w:fill="auto"/>
            <w:noWrap/>
            <w:vAlign w:val="center"/>
            <w:hideMark/>
          </w:tcPr>
          <w:p w14:paraId="49E94BE7" w14:textId="1F4CD1AD" w:rsidR="007A35D6" w:rsidRPr="005B0F95" w:rsidRDefault="007A35D6" w:rsidP="007A35D6">
            <w:pPr>
              <w:spacing w:before="0" w:after="0" w:line="240" w:lineRule="auto"/>
              <w:jc w:val="right"/>
              <w:rPr>
                <w:rFonts w:ascii="Calibri" w:hAnsi="Calibri"/>
                <w:color w:val="000000"/>
                <w:szCs w:val="20"/>
              </w:rPr>
            </w:pPr>
            <w:r>
              <w:rPr>
                <w:rFonts w:ascii="Calibri" w:hAnsi="Calibri" w:cs="Calibri"/>
                <w:szCs w:val="20"/>
              </w:rPr>
              <w:t>864 812,80</w:t>
            </w:r>
          </w:p>
        </w:tc>
      </w:tr>
      <w:tr w:rsidR="001432BF" w:rsidRPr="005B0F95" w14:paraId="452CAD24" w14:textId="77777777" w:rsidTr="00A40297">
        <w:trPr>
          <w:trHeight w:val="255"/>
        </w:trPr>
        <w:tc>
          <w:tcPr>
            <w:tcW w:w="960" w:type="dxa"/>
            <w:shd w:val="clear" w:color="000000" w:fill="BDD7EE"/>
            <w:noWrap/>
            <w:vAlign w:val="bottom"/>
            <w:hideMark/>
          </w:tcPr>
          <w:p w14:paraId="1A3AD379" w14:textId="77777777" w:rsidR="001432BF" w:rsidRPr="005B0F95" w:rsidRDefault="001432BF" w:rsidP="001432BF">
            <w:pPr>
              <w:spacing w:before="0" w:after="0" w:line="240" w:lineRule="auto"/>
              <w:jc w:val="center"/>
              <w:rPr>
                <w:rFonts w:ascii="Calibri" w:hAnsi="Calibri"/>
                <w:color w:val="000000"/>
                <w:szCs w:val="20"/>
              </w:rPr>
            </w:pPr>
            <w:r w:rsidRPr="005B0F95">
              <w:rPr>
                <w:rFonts w:ascii="Calibri" w:hAnsi="Calibri"/>
                <w:color w:val="000000"/>
                <w:szCs w:val="20"/>
              </w:rPr>
              <w:t> </w:t>
            </w:r>
          </w:p>
        </w:tc>
        <w:tc>
          <w:tcPr>
            <w:tcW w:w="4300" w:type="dxa"/>
            <w:shd w:val="clear" w:color="000000" w:fill="BDD7EE"/>
            <w:noWrap/>
            <w:vAlign w:val="bottom"/>
            <w:hideMark/>
          </w:tcPr>
          <w:p w14:paraId="5DCF868C" w14:textId="77777777" w:rsidR="001432BF" w:rsidRPr="005B0F95" w:rsidRDefault="001432BF" w:rsidP="001432BF">
            <w:pPr>
              <w:spacing w:before="0" w:after="0" w:line="240" w:lineRule="auto"/>
              <w:jc w:val="left"/>
              <w:rPr>
                <w:rFonts w:ascii="Calibri" w:hAnsi="Calibri"/>
                <w:color w:val="000000"/>
                <w:szCs w:val="20"/>
              </w:rPr>
            </w:pPr>
            <w:r w:rsidRPr="005B0F95">
              <w:rPr>
                <w:rFonts w:ascii="Calibri" w:hAnsi="Calibri"/>
                <w:color w:val="000000"/>
                <w:szCs w:val="20"/>
              </w:rPr>
              <w:t>Spolu</w:t>
            </w:r>
          </w:p>
        </w:tc>
        <w:tc>
          <w:tcPr>
            <w:tcW w:w="1977" w:type="dxa"/>
            <w:shd w:val="clear" w:color="000000" w:fill="BDD7EE"/>
            <w:noWrap/>
            <w:vAlign w:val="center"/>
            <w:hideMark/>
          </w:tcPr>
          <w:p w14:paraId="7D698E89" w14:textId="61149351" w:rsidR="001432BF" w:rsidRPr="005B0F95" w:rsidRDefault="001432BF" w:rsidP="001432BF">
            <w:pPr>
              <w:spacing w:before="0" w:after="0" w:line="240" w:lineRule="auto"/>
              <w:jc w:val="right"/>
              <w:rPr>
                <w:rFonts w:ascii="Calibri" w:hAnsi="Calibri"/>
                <w:color w:val="000000"/>
                <w:szCs w:val="20"/>
              </w:rPr>
            </w:pPr>
            <w:r>
              <w:rPr>
                <w:rFonts w:ascii="Calibri" w:hAnsi="Calibri" w:cs="Calibri"/>
                <w:szCs w:val="20"/>
              </w:rPr>
              <w:t>5 968 558,00</w:t>
            </w:r>
          </w:p>
        </w:tc>
        <w:tc>
          <w:tcPr>
            <w:tcW w:w="1977" w:type="dxa"/>
            <w:shd w:val="clear" w:color="000000" w:fill="BDD7EE"/>
            <w:noWrap/>
            <w:vAlign w:val="center"/>
            <w:hideMark/>
          </w:tcPr>
          <w:p w14:paraId="558E0A44" w14:textId="6D64707A" w:rsidR="001432BF" w:rsidRPr="005B0F95" w:rsidRDefault="001432BF" w:rsidP="001432BF">
            <w:pPr>
              <w:spacing w:before="0" w:after="0" w:line="240" w:lineRule="auto"/>
              <w:jc w:val="right"/>
              <w:rPr>
                <w:rFonts w:ascii="Calibri" w:hAnsi="Calibri"/>
                <w:color w:val="000000"/>
                <w:szCs w:val="20"/>
              </w:rPr>
            </w:pPr>
            <w:r>
              <w:rPr>
                <w:rFonts w:ascii="Calibri" w:hAnsi="Calibri" w:cs="Calibri"/>
                <w:szCs w:val="20"/>
              </w:rPr>
              <w:t>864 812,80</w:t>
            </w:r>
          </w:p>
        </w:tc>
      </w:tr>
    </w:tbl>
    <w:p w14:paraId="7869BD94" w14:textId="6A049570" w:rsidR="005B0F95" w:rsidRPr="005B0F95" w:rsidRDefault="005B0F95" w:rsidP="005B0F95">
      <w:pPr>
        <w:rPr>
          <w:i/>
        </w:rPr>
      </w:pPr>
      <w:r w:rsidRPr="005B0F95">
        <w:rPr>
          <w:i/>
          <w:sz w:val="16"/>
        </w:rPr>
        <w:t>Zdroj: Návrh SkyToll</w:t>
      </w:r>
    </w:p>
    <w:p w14:paraId="2F6183E1" w14:textId="3D042ED2" w:rsidR="00DF6342" w:rsidRDefault="00DF6342" w:rsidP="00DF6342">
      <w:r>
        <w:t xml:space="preserve">Na základe časového harmonogramu </w:t>
      </w:r>
      <w:r w:rsidR="008541A7">
        <w:t xml:space="preserve">(viď čl. </w:t>
      </w:r>
      <w:r w:rsidR="008541A7">
        <w:fldChar w:fldCharType="begin"/>
      </w:r>
      <w:r w:rsidR="008541A7">
        <w:instrText xml:space="preserve"> REF _Ref72133432 \r \p \h </w:instrText>
      </w:r>
      <w:r w:rsidR="008541A7">
        <w:fldChar w:fldCharType="separate"/>
      </w:r>
      <w:r w:rsidR="00A86720">
        <w:t>6.</w:t>
      </w:r>
      <w:r w:rsidR="00A86720">
        <w:t>4</w:t>
      </w:r>
      <w:r w:rsidR="00A86720">
        <w:t>.1 nižšie</w:t>
      </w:r>
      <w:r w:rsidR="008541A7">
        <w:fldChar w:fldCharType="end"/>
      </w:r>
      <w:r w:rsidR="008541A7">
        <w:t xml:space="preserve">) </w:t>
      </w:r>
      <w:r>
        <w:t>a cenového návrhu SkyToll bol spracovaný platobný kalendár za služby realizácie a prevádzkovania zmeny „</w:t>
      </w:r>
      <w:r w:rsidRPr="00DF6342">
        <w:t>Implementácia Európskej služby elektronického výberu mýta do Elektronického mýtneho systému, CR-00190</w:t>
      </w:r>
      <w:r>
        <w:t>“.</w:t>
      </w:r>
    </w:p>
    <w:p w14:paraId="02985E29" w14:textId="77777777" w:rsidR="00A711F3" w:rsidRDefault="00A711F3" w:rsidP="008915A2">
      <w:pPr>
        <w:rPr>
          <w:i/>
          <w:sz w:val="16"/>
        </w:rPr>
      </w:pPr>
    </w:p>
    <w:p w14:paraId="19EDBE4B" w14:textId="77777777" w:rsidR="008915A2" w:rsidRDefault="008915A2" w:rsidP="008915A2">
      <w:pPr>
        <w:pStyle w:val="Heading4"/>
      </w:pPr>
      <w:r>
        <w:t>Zhrnutie nákladových položiek</w:t>
      </w:r>
    </w:p>
    <w:p w14:paraId="50AA06E8" w14:textId="25F9988C" w:rsidR="008915A2" w:rsidRDefault="00281A01" w:rsidP="008915A2">
      <w:r>
        <w:t>D</w:t>
      </w:r>
      <w:r w:rsidR="008915A2">
        <w:t xml:space="preserve">o kalkulácie nákladov </w:t>
      </w:r>
      <w:r>
        <w:t>projektu vo variant</w:t>
      </w:r>
      <w:r w:rsidR="009648AC">
        <w:t>e</w:t>
      </w:r>
      <w:r>
        <w:t xml:space="preserve"> 1 je zahrnutá cena </w:t>
      </w:r>
      <w:r w:rsidR="002D787E">
        <w:t xml:space="preserve">a odmeny </w:t>
      </w:r>
      <w:r>
        <w:t xml:space="preserve">za služby SkyToll, náklady realizácie projektu, ďalej cena za služby </w:t>
      </w:r>
      <w:r w:rsidR="002D787E">
        <w:t>clearingového centra a platobnej infraštruktúry</w:t>
      </w:r>
      <w:r>
        <w:t xml:space="preserve">, cena za služby </w:t>
      </w:r>
      <w:r w:rsidR="008915A2">
        <w:t xml:space="preserve">nezávislého znalca podľa príslušnej zmluvy </w:t>
      </w:r>
      <w:r w:rsidR="009648AC">
        <w:t xml:space="preserve">a </w:t>
      </w:r>
      <w:r>
        <w:t>odmeny poskytovateľov EETS, ktorí sa budú podieľať na výber</w:t>
      </w:r>
      <w:r w:rsidR="00D10B8E">
        <w:t>e</w:t>
      </w:r>
      <w:r>
        <w:t xml:space="preserve"> mýta</w:t>
      </w:r>
      <w:r w:rsidR="008915A2">
        <w:t>.</w:t>
      </w:r>
    </w:p>
    <w:p w14:paraId="25D7CCF2" w14:textId="7B70DF60" w:rsidR="00281A01" w:rsidRDefault="008915A2" w:rsidP="008915A2">
      <w:r>
        <w:t xml:space="preserve">Celkové náklady variantu </w:t>
      </w:r>
      <w:r w:rsidR="00075021">
        <w:t xml:space="preserve">1 </w:t>
      </w:r>
      <w:r>
        <w:t xml:space="preserve">sú uvedené v tabuľke nižšie, všetky nákladové položky sú </w:t>
      </w:r>
      <w:r w:rsidR="00442BC1">
        <w:t>uvedené v cenovej úrovni</w:t>
      </w:r>
      <w:r>
        <w:t xml:space="preserve"> roka 2021.</w:t>
      </w:r>
    </w:p>
    <w:p w14:paraId="62DE3182" w14:textId="2D62C06E" w:rsidR="008915A2" w:rsidRDefault="008915A2" w:rsidP="00FA6605">
      <w:pPr>
        <w:pStyle w:val="Caption"/>
      </w:pPr>
      <w:r>
        <w:t xml:space="preserve">Tab. </w:t>
      </w:r>
      <w:r>
        <w:fldChar w:fldCharType="begin"/>
      </w:r>
      <w:r>
        <w:instrText xml:space="preserve"> SEQ Tab. \* ARABIC </w:instrText>
      </w:r>
      <w:r>
        <w:fldChar w:fldCharType="separate"/>
      </w:r>
      <w:r w:rsidR="00A86720">
        <w:rPr>
          <w:noProof/>
        </w:rPr>
        <w:t>6</w:t>
      </w:r>
      <w:r>
        <w:fldChar w:fldCharType="end"/>
      </w:r>
      <w:r>
        <w:t xml:space="preserve"> - Náklady, variant </w:t>
      </w:r>
      <w:r w:rsidR="00281A01">
        <w:t>1</w:t>
      </w:r>
    </w:p>
    <w:tbl>
      <w:tblPr>
        <w:tblW w:w="92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552"/>
        <w:gridCol w:w="1110"/>
        <w:gridCol w:w="1110"/>
        <w:gridCol w:w="1111"/>
        <w:gridCol w:w="1110"/>
        <w:gridCol w:w="1110"/>
        <w:gridCol w:w="1111"/>
      </w:tblGrid>
      <w:tr w:rsidR="00281A01" w:rsidRPr="0037598E" w14:paraId="7425705E" w14:textId="77777777" w:rsidTr="00A40297">
        <w:trPr>
          <w:trHeight w:val="255"/>
        </w:trPr>
        <w:tc>
          <w:tcPr>
            <w:tcW w:w="2552" w:type="dxa"/>
            <w:shd w:val="clear" w:color="000000" w:fill="BDD7EE"/>
            <w:noWrap/>
            <w:vAlign w:val="center"/>
            <w:hideMark/>
          </w:tcPr>
          <w:p w14:paraId="655BC47C" w14:textId="142E6160" w:rsidR="00281A01" w:rsidRPr="00281A01" w:rsidRDefault="007364F5" w:rsidP="00281A01">
            <w:pPr>
              <w:spacing w:before="0" w:after="0" w:line="240" w:lineRule="auto"/>
              <w:jc w:val="center"/>
              <w:rPr>
                <w:rFonts w:ascii="Calibri" w:hAnsi="Calibri"/>
                <w:color w:val="000000"/>
                <w:szCs w:val="20"/>
              </w:rPr>
            </w:pPr>
            <w:r>
              <w:rPr>
                <w:rFonts w:ascii="Calibri" w:hAnsi="Calibri"/>
                <w:color w:val="000000"/>
                <w:szCs w:val="20"/>
              </w:rPr>
              <w:t>P</w:t>
            </w:r>
            <w:r w:rsidR="00281A01" w:rsidRPr="00281A01">
              <w:rPr>
                <w:rFonts w:ascii="Calibri" w:hAnsi="Calibri"/>
                <w:color w:val="000000"/>
                <w:szCs w:val="20"/>
              </w:rPr>
              <w:t>oložka</w:t>
            </w:r>
          </w:p>
        </w:tc>
        <w:tc>
          <w:tcPr>
            <w:tcW w:w="1110" w:type="dxa"/>
            <w:shd w:val="clear" w:color="000000" w:fill="BDD7EE"/>
            <w:noWrap/>
            <w:vAlign w:val="center"/>
            <w:hideMark/>
          </w:tcPr>
          <w:p w14:paraId="4E4E8373" w14:textId="48116A6E" w:rsidR="00281A01" w:rsidRPr="00281A01" w:rsidRDefault="00281A01" w:rsidP="00281A01">
            <w:pPr>
              <w:spacing w:before="0" w:after="0" w:line="240" w:lineRule="auto"/>
              <w:jc w:val="center"/>
              <w:rPr>
                <w:rFonts w:ascii="Calibri" w:hAnsi="Calibri"/>
                <w:color w:val="000000"/>
                <w:szCs w:val="20"/>
              </w:rPr>
            </w:pPr>
            <w:r w:rsidRPr="0037598E">
              <w:rPr>
                <w:rFonts w:ascii="Calibri" w:hAnsi="Calibri"/>
                <w:color w:val="000000"/>
                <w:szCs w:val="20"/>
              </w:rPr>
              <w:t>Náklady zavedenia zmeny</w:t>
            </w:r>
          </w:p>
        </w:tc>
        <w:tc>
          <w:tcPr>
            <w:tcW w:w="1110" w:type="dxa"/>
            <w:shd w:val="clear" w:color="000000" w:fill="BDD7EE"/>
            <w:noWrap/>
            <w:vAlign w:val="center"/>
            <w:hideMark/>
          </w:tcPr>
          <w:p w14:paraId="3515A340" w14:textId="77777777" w:rsidR="00281A01" w:rsidRPr="00281A01" w:rsidRDefault="00281A01" w:rsidP="00281A01">
            <w:pPr>
              <w:spacing w:before="0" w:after="0" w:line="240" w:lineRule="auto"/>
              <w:jc w:val="center"/>
              <w:rPr>
                <w:rFonts w:ascii="Calibri" w:hAnsi="Calibri"/>
                <w:color w:val="000000"/>
                <w:szCs w:val="20"/>
              </w:rPr>
            </w:pPr>
            <w:r w:rsidRPr="00281A01">
              <w:rPr>
                <w:rFonts w:ascii="Calibri" w:hAnsi="Calibri"/>
                <w:color w:val="000000"/>
                <w:szCs w:val="20"/>
              </w:rPr>
              <w:t>2022</w:t>
            </w:r>
          </w:p>
        </w:tc>
        <w:tc>
          <w:tcPr>
            <w:tcW w:w="1111" w:type="dxa"/>
            <w:shd w:val="clear" w:color="000000" w:fill="BDD7EE"/>
            <w:noWrap/>
            <w:vAlign w:val="center"/>
            <w:hideMark/>
          </w:tcPr>
          <w:p w14:paraId="1A24AB3D" w14:textId="77777777" w:rsidR="00281A01" w:rsidRPr="00281A01" w:rsidRDefault="00281A01" w:rsidP="00281A01">
            <w:pPr>
              <w:spacing w:before="0" w:after="0" w:line="240" w:lineRule="auto"/>
              <w:jc w:val="center"/>
              <w:rPr>
                <w:rFonts w:ascii="Calibri" w:hAnsi="Calibri"/>
                <w:color w:val="000000"/>
                <w:szCs w:val="20"/>
              </w:rPr>
            </w:pPr>
            <w:r w:rsidRPr="00281A01">
              <w:rPr>
                <w:rFonts w:ascii="Calibri" w:hAnsi="Calibri"/>
                <w:color w:val="000000"/>
                <w:szCs w:val="20"/>
              </w:rPr>
              <w:t>2023</w:t>
            </w:r>
          </w:p>
        </w:tc>
        <w:tc>
          <w:tcPr>
            <w:tcW w:w="1110" w:type="dxa"/>
            <w:shd w:val="clear" w:color="000000" w:fill="BDD7EE"/>
            <w:noWrap/>
            <w:vAlign w:val="center"/>
            <w:hideMark/>
          </w:tcPr>
          <w:p w14:paraId="0BCA0699" w14:textId="77777777" w:rsidR="00281A01" w:rsidRPr="00281A01" w:rsidRDefault="00281A01" w:rsidP="00281A01">
            <w:pPr>
              <w:spacing w:before="0" w:after="0" w:line="240" w:lineRule="auto"/>
              <w:jc w:val="center"/>
              <w:rPr>
                <w:rFonts w:ascii="Calibri" w:hAnsi="Calibri"/>
                <w:color w:val="000000"/>
                <w:szCs w:val="20"/>
              </w:rPr>
            </w:pPr>
            <w:r w:rsidRPr="00281A01">
              <w:rPr>
                <w:rFonts w:ascii="Calibri" w:hAnsi="Calibri"/>
                <w:color w:val="000000"/>
                <w:szCs w:val="20"/>
              </w:rPr>
              <w:t>2024</w:t>
            </w:r>
          </w:p>
        </w:tc>
        <w:tc>
          <w:tcPr>
            <w:tcW w:w="1110" w:type="dxa"/>
            <w:shd w:val="clear" w:color="000000" w:fill="BDD7EE"/>
            <w:noWrap/>
            <w:vAlign w:val="center"/>
            <w:hideMark/>
          </w:tcPr>
          <w:p w14:paraId="606BE157" w14:textId="77777777" w:rsidR="00281A01" w:rsidRPr="00281A01" w:rsidRDefault="00281A01" w:rsidP="00281A01">
            <w:pPr>
              <w:spacing w:before="0" w:after="0" w:line="240" w:lineRule="auto"/>
              <w:jc w:val="center"/>
              <w:rPr>
                <w:rFonts w:ascii="Calibri" w:hAnsi="Calibri"/>
                <w:color w:val="000000"/>
                <w:szCs w:val="20"/>
              </w:rPr>
            </w:pPr>
            <w:r w:rsidRPr="00281A01">
              <w:rPr>
                <w:rFonts w:ascii="Calibri" w:hAnsi="Calibri"/>
                <w:color w:val="000000"/>
                <w:szCs w:val="20"/>
              </w:rPr>
              <w:t>2025</w:t>
            </w:r>
          </w:p>
        </w:tc>
        <w:tc>
          <w:tcPr>
            <w:tcW w:w="1111" w:type="dxa"/>
            <w:shd w:val="clear" w:color="000000" w:fill="BDD7EE"/>
            <w:noWrap/>
            <w:vAlign w:val="center"/>
            <w:hideMark/>
          </w:tcPr>
          <w:p w14:paraId="25B0A491" w14:textId="77777777" w:rsidR="00281A01" w:rsidRPr="00281A01" w:rsidRDefault="00281A01" w:rsidP="00281A01">
            <w:pPr>
              <w:spacing w:before="0" w:after="0" w:line="240" w:lineRule="auto"/>
              <w:jc w:val="center"/>
              <w:rPr>
                <w:rFonts w:ascii="Calibri" w:hAnsi="Calibri"/>
                <w:color w:val="000000"/>
                <w:szCs w:val="20"/>
              </w:rPr>
            </w:pPr>
            <w:r w:rsidRPr="00281A01">
              <w:rPr>
                <w:rFonts w:ascii="Calibri" w:hAnsi="Calibri"/>
                <w:color w:val="000000"/>
                <w:szCs w:val="20"/>
              </w:rPr>
              <w:t>2026</w:t>
            </w:r>
          </w:p>
        </w:tc>
      </w:tr>
      <w:tr w:rsidR="00703EEF" w:rsidRPr="0037598E" w14:paraId="41CC9241" w14:textId="77777777" w:rsidTr="00A40297">
        <w:trPr>
          <w:trHeight w:val="255"/>
        </w:trPr>
        <w:tc>
          <w:tcPr>
            <w:tcW w:w="2552" w:type="dxa"/>
            <w:shd w:val="clear" w:color="000000" w:fill="DDEBF7"/>
            <w:noWrap/>
            <w:vAlign w:val="bottom"/>
            <w:hideMark/>
          </w:tcPr>
          <w:p w14:paraId="5B54A8FA" w14:textId="38B89FFC" w:rsidR="00703EEF" w:rsidRPr="00281A01" w:rsidRDefault="00703EEF" w:rsidP="00703EEF">
            <w:pPr>
              <w:spacing w:before="0" w:after="0" w:line="240" w:lineRule="auto"/>
              <w:jc w:val="left"/>
              <w:rPr>
                <w:rFonts w:ascii="Calibri" w:hAnsi="Calibri"/>
                <w:color w:val="000000"/>
                <w:szCs w:val="20"/>
              </w:rPr>
            </w:pPr>
            <w:r w:rsidRPr="00281A01">
              <w:rPr>
                <w:rFonts w:ascii="Calibri" w:hAnsi="Calibri"/>
                <w:color w:val="000000"/>
                <w:szCs w:val="20"/>
              </w:rPr>
              <w:t xml:space="preserve">Základná </w:t>
            </w:r>
            <w:r>
              <w:rPr>
                <w:rFonts w:ascii="Calibri" w:hAnsi="Calibri"/>
                <w:color w:val="000000"/>
                <w:szCs w:val="20"/>
              </w:rPr>
              <w:t xml:space="preserve">ročná </w:t>
            </w:r>
            <w:r w:rsidRPr="00281A01">
              <w:rPr>
                <w:rFonts w:ascii="Calibri" w:hAnsi="Calibri"/>
                <w:color w:val="000000"/>
                <w:szCs w:val="20"/>
              </w:rPr>
              <w:t>cena ETC</w:t>
            </w:r>
          </w:p>
        </w:tc>
        <w:tc>
          <w:tcPr>
            <w:tcW w:w="1110" w:type="dxa"/>
            <w:shd w:val="clear" w:color="auto" w:fill="auto"/>
            <w:noWrap/>
            <w:vAlign w:val="center"/>
            <w:hideMark/>
          </w:tcPr>
          <w:p w14:paraId="6F6505C3" w14:textId="1FFEABFD" w:rsidR="00703EEF" w:rsidRPr="00281A01" w:rsidRDefault="00703EEF" w:rsidP="00703EEF">
            <w:pPr>
              <w:spacing w:before="0" w:after="0" w:line="240" w:lineRule="auto"/>
              <w:jc w:val="left"/>
              <w:rPr>
                <w:rFonts w:ascii="Calibri" w:hAnsi="Calibri"/>
                <w:color w:val="000000"/>
                <w:szCs w:val="20"/>
              </w:rPr>
            </w:pPr>
          </w:p>
        </w:tc>
        <w:tc>
          <w:tcPr>
            <w:tcW w:w="1110" w:type="dxa"/>
            <w:shd w:val="clear" w:color="auto" w:fill="auto"/>
            <w:noWrap/>
            <w:vAlign w:val="center"/>
            <w:hideMark/>
          </w:tcPr>
          <w:p w14:paraId="119AFBBC" w14:textId="678D6F8D"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60 030 781</w:t>
            </w:r>
          </w:p>
        </w:tc>
        <w:tc>
          <w:tcPr>
            <w:tcW w:w="1111" w:type="dxa"/>
            <w:shd w:val="clear" w:color="auto" w:fill="auto"/>
            <w:noWrap/>
            <w:vAlign w:val="center"/>
            <w:hideMark/>
          </w:tcPr>
          <w:p w14:paraId="01B81260" w14:textId="0D51FA59"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58 258 154</w:t>
            </w:r>
          </w:p>
        </w:tc>
        <w:tc>
          <w:tcPr>
            <w:tcW w:w="1110" w:type="dxa"/>
            <w:shd w:val="clear" w:color="auto" w:fill="auto"/>
            <w:noWrap/>
            <w:vAlign w:val="center"/>
            <w:hideMark/>
          </w:tcPr>
          <w:p w14:paraId="0DA58D66" w14:textId="526A9FEC"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56 052 087</w:t>
            </w:r>
          </w:p>
        </w:tc>
        <w:tc>
          <w:tcPr>
            <w:tcW w:w="1110" w:type="dxa"/>
            <w:shd w:val="clear" w:color="auto" w:fill="auto"/>
            <w:noWrap/>
            <w:vAlign w:val="center"/>
            <w:hideMark/>
          </w:tcPr>
          <w:p w14:paraId="232E2F17" w14:textId="322FA7F9"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54 465 413</w:t>
            </w:r>
          </w:p>
        </w:tc>
        <w:tc>
          <w:tcPr>
            <w:tcW w:w="1111" w:type="dxa"/>
            <w:shd w:val="clear" w:color="auto" w:fill="auto"/>
            <w:noWrap/>
            <w:vAlign w:val="center"/>
            <w:hideMark/>
          </w:tcPr>
          <w:p w14:paraId="3DD15634" w14:textId="19DE7D57"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53 800 092</w:t>
            </w:r>
          </w:p>
        </w:tc>
      </w:tr>
      <w:tr w:rsidR="00BB6B3F" w:rsidRPr="0037598E" w14:paraId="1A2F2A82" w14:textId="77777777" w:rsidTr="00A40297">
        <w:trPr>
          <w:trHeight w:val="255"/>
        </w:trPr>
        <w:tc>
          <w:tcPr>
            <w:tcW w:w="2552" w:type="dxa"/>
            <w:shd w:val="clear" w:color="000000" w:fill="DDEBF7"/>
            <w:noWrap/>
            <w:vAlign w:val="bottom"/>
            <w:hideMark/>
          </w:tcPr>
          <w:p w14:paraId="408B7855" w14:textId="77777777" w:rsidR="00BB6B3F" w:rsidRPr="00281A01" w:rsidRDefault="00BB6B3F" w:rsidP="00BB6B3F">
            <w:pPr>
              <w:spacing w:before="0" w:after="0" w:line="240" w:lineRule="auto"/>
              <w:jc w:val="left"/>
              <w:rPr>
                <w:rFonts w:ascii="Calibri" w:hAnsi="Calibri"/>
                <w:color w:val="000000"/>
                <w:szCs w:val="20"/>
              </w:rPr>
            </w:pPr>
            <w:r w:rsidRPr="00281A01">
              <w:rPr>
                <w:rFonts w:ascii="Calibri" w:hAnsi="Calibri"/>
                <w:color w:val="000000"/>
                <w:szCs w:val="20"/>
              </w:rPr>
              <w:t>Implementácia EETS</w:t>
            </w:r>
          </w:p>
        </w:tc>
        <w:tc>
          <w:tcPr>
            <w:tcW w:w="1110" w:type="dxa"/>
            <w:shd w:val="clear" w:color="auto" w:fill="auto"/>
            <w:noWrap/>
            <w:vAlign w:val="center"/>
            <w:hideMark/>
          </w:tcPr>
          <w:p w14:paraId="660CBAE7" w14:textId="688E87C2" w:rsidR="00BB6B3F" w:rsidRPr="00281A01" w:rsidRDefault="00BB6B3F" w:rsidP="00BB6B3F">
            <w:pPr>
              <w:spacing w:before="0" w:after="0" w:line="240" w:lineRule="auto"/>
              <w:jc w:val="right"/>
              <w:rPr>
                <w:rFonts w:ascii="Calibri" w:hAnsi="Calibri"/>
                <w:color w:val="000000"/>
                <w:szCs w:val="20"/>
              </w:rPr>
            </w:pPr>
            <w:r>
              <w:rPr>
                <w:rFonts w:ascii="Calibri" w:hAnsi="Calibri" w:cs="Calibri"/>
                <w:szCs w:val="20"/>
              </w:rPr>
              <w:t>3 177 268</w:t>
            </w:r>
          </w:p>
        </w:tc>
        <w:tc>
          <w:tcPr>
            <w:tcW w:w="1110" w:type="dxa"/>
            <w:shd w:val="clear" w:color="auto" w:fill="auto"/>
            <w:noWrap/>
            <w:vAlign w:val="center"/>
            <w:hideMark/>
          </w:tcPr>
          <w:p w14:paraId="116B2615" w14:textId="3EFAFA17" w:rsidR="00BB6B3F" w:rsidRPr="00281A01" w:rsidRDefault="00BB6B3F" w:rsidP="00BB6B3F">
            <w:pPr>
              <w:spacing w:before="0" w:after="0" w:line="240" w:lineRule="auto"/>
              <w:jc w:val="left"/>
              <w:rPr>
                <w:rFonts w:ascii="Calibri" w:hAnsi="Calibri"/>
                <w:color w:val="000000"/>
                <w:szCs w:val="20"/>
              </w:rPr>
            </w:pPr>
            <w:r>
              <w:rPr>
                <w:rFonts w:ascii="Calibri" w:hAnsi="Calibri" w:cs="Calibri"/>
                <w:szCs w:val="20"/>
              </w:rPr>
              <w:t>2 791 290</w:t>
            </w:r>
          </w:p>
        </w:tc>
        <w:tc>
          <w:tcPr>
            <w:tcW w:w="1111" w:type="dxa"/>
            <w:shd w:val="clear" w:color="auto" w:fill="auto"/>
            <w:noWrap/>
            <w:vAlign w:val="center"/>
            <w:hideMark/>
          </w:tcPr>
          <w:p w14:paraId="56A0B843" w14:textId="2237921C" w:rsidR="00BB6B3F" w:rsidRPr="00281A01" w:rsidRDefault="00BB6B3F" w:rsidP="00BB6B3F">
            <w:pPr>
              <w:spacing w:before="0" w:after="0" w:line="240" w:lineRule="auto"/>
              <w:jc w:val="left"/>
              <w:rPr>
                <w:rFonts w:ascii="Calibri" w:hAnsi="Calibri"/>
                <w:color w:val="000000"/>
                <w:szCs w:val="20"/>
              </w:rPr>
            </w:pPr>
            <w:r>
              <w:rPr>
                <w:rFonts w:ascii="Calibri" w:hAnsi="Calibri" w:cs="Calibri"/>
                <w:szCs w:val="20"/>
              </w:rPr>
              <w:t> </w:t>
            </w:r>
          </w:p>
        </w:tc>
        <w:tc>
          <w:tcPr>
            <w:tcW w:w="1110" w:type="dxa"/>
            <w:shd w:val="clear" w:color="auto" w:fill="auto"/>
            <w:noWrap/>
            <w:vAlign w:val="center"/>
            <w:hideMark/>
          </w:tcPr>
          <w:p w14:paraId="6EC9CADD" w14:textId="48ECF4BE" w:rsidR="00BB6B3F" w:rsidRPr="00281A01" w:rsidRDefault="00BB6B3F" w:rsidP="00BB6B3F">
            <w:pPr>
              <w:spacing w:before="0" w:after="0" w:line="240" w:lineRule="auto"/>
              <w:jc w:val="left"/>
              <w:rPr>
                <w:rFonts w:ascii="Calibri" w:hAnsi="Calibri"/>
                <w:color w:val="000000"/>
                <w:szCs w:val="20"/>
              </w:rPr>
            </w:pPr>
            <w:r>
              <w:rPr>
                <w:rFonts w:ascii="Calibri" w:hAnsi="Calibri" w:cs="Calibri"/>
                <w:szCs w:val="20"/>
              </w:rPr>
              <w:t> </w:t>
            </w:r>
          </w:p>
        </w:tc>
        <w:tc>
          <w:tcPr>
            <w:tcW w:w="1110" w:type="dxa"/>
            <w:shd w:val="clear" w:color="auto" w:fill="auto"/>
            <w:noWrap/>
            <w:vAlign w:val="center"/>
            <w:hideMark/>
          </w:tcPr>
          <w:p w14:paraId="4E786909" w14:textId="4575FC2F" w:rsidR="00BB6B3F" w:rsidRPr="00281A01" w:rsidRDefault="00BB6B3F" w:rsidP="00BB6B3F">
            <w:pPr>
              <w:spacing w:before="0" w:after="0" w:line="240" w:lineRule="auto"/>
              <w:jc w:val="left"/>
              <w:rPr>
                <w:rFonts w:ascii="Calibri" w:hAnsi="Calibri"/>
                <w:color w:val="000000"/>
                <w:szCs w:val="20"/>
              </w:rPr>
            </w:pPr>
            <w:r>
              <w:rPr>
                <w:rFonts w:ascii="Calibri" w:hAnsi="Calibri" w:cs="Calibri"/>
                <w:szCs w:val="20"/>
              </w:rPr>
              <w:t> </w:t>
            </w:r>
          </w:p>
        </w:tc>
        <w:tc>
          <w:tcPr>
            <w:tcW w:w="1111" w:type="dxa"/>
            <w:shd w:val="clear" w:color="auto" w:fill="auto"/>
            <w:noWrap/>
            <w:vAlign w:val="center"/>
            <w:hideMark/>
          </w:tcPr>
          <w:p w14:paraId="7C6255B5" w14:textId="5A5864C6" w:rsidR="00BB6B3F" w:rsidRPr="00281A01" w:rsidRDefault="00BB6B3F" w:rsidP="00BB6B3F">
            <w:pPr>
              <w:spacing w:before="0" w:after="0" w:line="240" w:lineRule="auto"/>
              <w:jc w:val="left"/>
              <w:rPr>
                <w:rFonts w:ascii="Calibri" w:hAnsi="Calibri"/>
                <w:color w:val="000000"/>
                <w:szCs w:val="20"/>
              </w:rPr>
            </w:pPr>
            <w:r>
              <w:rPr>
                <w:rFonts w:ascii="Calibri" w:hAnsi="Calibri" w:cs="Calibri"/>
                <w:szCs w:val="20"/>
              </w:rPr>
              <w:t> </w:t>
            </w:r>
          </w:p>
        </w:tc>
      </w:tr>
      <w:tr w:rsidR="00656414" w:rsidRPr="0037598E" w14:paraId="346B8821" w14:textId="77777777" w:rsidTr="00A40297">
        <w:trPr>
          <w:trHeight w:val="255"/>
        </w:trPr>
        <w:tc>
          <w:tcPr>
            <w:tcW w:w="2552" w:type="dxa"/>
            <w:shd w:val="clear" w:color="000000" w:fill="DDEBF7"/>
            <w:noWrap/>
            <w:vAlign w:val="bottom"/>
            <w:hideMark/>
          </w:tcPr>
          <w:p w14:paraId="1E7E8D67" w14:textId="77777777" w:rsidR="00656414" w:rsidRPr="00281A01" w:rsidRDefault="00656414" w:rsidP="00656414">
            <w:pPr>
              <w:spacing w:before="0" w:after="0" w:line="240" w:lineRule="auto"/>
              <w:jc w:val="left"/>
              <w:rPr>
                <w:rFonts w:ascii="Calibri" w:hAnsi="Calibri"/>
                <w:color w:val="000000"/>
                <w:szCs w:val="20"/>
              </w:rPr>
            </w:pPr>
            <w:r w:rsidRPr="00281A01">
              <w:rPr>
                <w:rFonts w:ascii="Calibri" w:hAnsi="Calibri"/>
                <w:color w:val="000000"/>
                <w:szCs w:val="20"/>
              </w:rPr>
              <w:t>Prevádzka EETS</w:t>
            </w:r>
          </w:p>
        </w:tc>
        <w:tc>
          <w:tcPr>
            <w:tcW w:w="1110" w:type="dxa"/>
            <w:shd w:val="clear" w:color="auto" w:fill="auto"/>
            <w:noWrap/>
            <w:vAlign w:val="center"/>
            <w:hideMark/>
          </w:tcPr>
          <w:p w14:paraId="7A3A0CC6" w14:textId="0C1EE7A2" w:rsidR="00656414" w:rsidRPr="00281A01" w:rsidRDefault="00656414" w:rsidP="00656414">
            <w:pPr>
              <w:spacing w:before="0" w:after="0" w:line="240" w:lineRule="auto"/>
              <w:jc w:val="left"/>
              <w:rPr>
                <w:rFonts w:ascii="Calibri" w:hAnsi="Calibri"/>
                <w:color w:val="000000"/>
                <w:szCs w:val="20"/>
              </w:rPr>
            </w:pPr>
            <w:r>
              <w:rPr>
                <w:rFonts w:ascii="Calibri" w:hAnsi="Calibri" w:cs="Calibri"/>
                <w:szCs w:val="20"/>
              </w:rPr>
              <w:t> </w:t>
            </w:r>
          </w:p>
        </w:tc>
        <w:tc>
          <w:tcPr>
            <w:tcW w:w="1110" w:type="dxa"/>
            <w:shd w:val="clear" w:color="auto" w:fill="auto"/>
            <w:noWrap/>
            <w:vAlign w:val="center"/>
            <w:hideMark/>
          </w:tcPr>
          <w:p w14:paraId="2008F3FB" w14:textId="18A8F451" w:rsidR="00656414" w:rsidRPr="00281A01" w:rsidRDefault="00656414" w:rsidP="00656414">
            <w:pPr>
              <w:spacing w:before="0" w:after="0" w:line="240" w:lineRule="auto"/>
              <w:jc w:val="right"/>
              <w:rPr>
                <w:rFonts w:ascii="Calibri" w:hAnsi="Calibri"/>
                <w:color w:val="000000"/>
                <w:szCs w:val="20"/>
              </w:rPr>
            </w:pPr>
            <w:r>
              <w:rPr>
                <w:rFonts w:ascii="Calibri" w:hAnsi="Calibri" w:cs="Calibri"/>
                <w:szCs w:val="20"/>
              </w:rPr>
              <w:t>864 813</w:t>
            </w:r>
          </w:p>
        </w:tc>
        <w:tc>
          <w:tcPr>
            <w:tcW w:w="1111" w:type="dxa"/>
            <w:shd w:val="clear" w:color="auto" w:fill="auto"/>
            <w:noWrap/>
            <w:vAlign w:val="center"/>
            <w:hideMark/>
          </w:tcPr>
          <w:p w14:paraId="128494F7" w14:textId="24B17F53" w:rsidR="00656414" w:rsidRPr="00281A01" w:rsidRDefault="00656414" w:rsidP="00656414">
            <w:pPr>
              <w:spacing w:before="0" w:after="0" w:line="240" w:lineRule="auto"/>
              <w:jc w:val="right"/>
              <w:rPr>
                <w:rFonts w:ascii="Calibri" w:hAnsi="Calibri"/>
                <w:color w:val="000000"/>
                <w:szCs w:val="20"/>
              </w:rPr>
            </w:pPr>
            <w:r>
              <w:rPr>
                <w:rFonts w:ascii="Calibri" w:hAnsi="Calibri" w:cs="Calibri"/>
                <w:szCs w:val="20"/>
              </w:rPr>
              <w:t>864 813</w:t>
            </w:r>
          </w:p>
        </w:tc>
        <w:tc>
          <w:tcPr>
            <w:tcW w:w="1110" w:type="dxa"/>
            <w:shd w:val="clear" w:color="auto" w:fill="auto"/>
            <w:noWrap/>
            <w:vAlign w:val="center"/>
            <w:hideMark/>
          </w:tcPr>
          <w:p w14:paraId="035384BA" w14:textId="486E59F6" w:rsidR="00656414" w:rsidRPr="00281A01" w:rsidRDefault="00656414" w:rsidP="00656414">
            <w:pPr>
              <w:spacing w:before="0" w:after="0" w:line="240" w:lineRule="auto"/>
              <w:jc w:val="right"/>
              <w:rPr>
                <w:rFonts w:ascii="Calibri" w:hAnsi="Calibri"/>
                <w:color w:val="000000"/>
                <w:szCs w:val="20"/>
              </w:rPr>
            </w:pPr>
            <w:r>
              <w:rPr>
                <w:rFonts w:ascii="Calibri" w:hAnsi="Calibri" w:cs="Calibri"/>
                <w:szCs w:val="20"/>
              </w:rPr>
              <w:t>864 813</w:t>
            </w:r>
          </w:p>
        </w:tc>
        <w:tc>
          <w:tcPr>
            <w:tcW w:w="1110" w:type="dxa"/>
            <w:shd w:val="clear" w:color="auto" w:fill="auto"/>
            <w:noWrap/>
            <w:vAlign w:val="center"/>
            <w:hideMark/>
          </w:tcPr>
          <w:p w14:paraId="36178181" w14:textId="4C7DFECB" w:rsidR="00656414" w:rsidRPr="00281A01" w:rsidRDefault="00656414" w:rsidP="00656414">
            <w:pPr>
              <w:spacing w:before="0" w:after="0" w:line="240" w:lineRule="auto"/>
              <w:jc w:val="right"/>
              <w:rPr>
                <w:rFonts w:ascii="Calibri" w:hAnsi="Calibri"/>
                <w:color w:val="000000"/>
                <w:szCs w:val="20"/>
              </w:rPr>
            </w:pPr>
            <w:r>
              <w:rPr>
                <w:rFonts w:ascii="Calibri" w:hAnsi="Calibri" w:cs="Calibri"/>
                <w:szCs w:val="20"/>
              </w:rPr>
              <w:t>864 813</w:t>
            </w:r>
          </w:p>
        </w:tc>
        <w:tc>
          <w:tcPr>
            <w:tcW w:w="1111" w:type="dxa"/>
            <w:shd w:val="clear" w:color="auto" w:fill="auto"/>
            <w:noWrap/>
            <w:vAlign w:val="center"/>
            <w:hideMark/>
          </w:tcPr>
          <w:p w14:paraId="3ECFF29B" w14:textId="18A49614" w:rsidR="00656414" w:rsidRPr="00281A01" w:rsidRDefault="00656414" w:rsidP="00656414">
            <w:pPr>
              <w:spacing w:before="0" w:after="0" w:line="240" w:lineRule="auto"/>
              <w:jc w:val="right"/>
              <w:rPr>
                <w:rFonts w:ascii="Calibri" w:hAnsi="Calibri"/>
                <w:color w:val="000000"/>
                <w:szCs w:val="20"/>
              </w:rPr>
            </w:pPr>
            <w:r>
              <w:rPr>
                <w:rFonts w:ascii="Calibri" w:hAnsi="Calibri" w:cs="Calibri"/>
                <w:szCs w:val="20"/>
              </w:rPr>
              <w:t>864 813</w:t>
            </w:r>
          </w:p>
        </w:tc>
      </w:tr>
      <w:tr w:rsidR="009B75B3" w:rsidRPr="0037598E" w14:paraId="0F108501" w14:textId="77777777" w:rsidTr="00A40297">
        <w:trPr>
          <w:trHeight w:val="255"/>
        </w:trPr>
        <w:tc>
          <w:tcPr>
            <w:tcW w:w="2552" w:type="dxa"/>
            <w:shd w:val="clear" w:color="auto" w:fill="DEEAF6" w:themeFill="accent1" w:themeFillTint="33"/>
            <w:noWrap/>
            <w:vAlign w:val="bottom"/>
            <w:hideMark/>
          </w:tcPr>
          <w:p w14:paraId="4C1C9EAC" w14:textId="39220D12" w:rsidR="009B75B3" w:rsidRPr="00281A01" w:rsidRDefault="009B75B3" w:rsidP="00703EEF">
            <w:pPr>
              <w:spacing w:before="0" w:after="0" w:line="240" w:lineRule="auto"/>
              <w:jc w:val="left"/>
              <w:rPr>
                <w:rFonts w:ascii="Calibri" w:hAnsi="Calibri"/>
                <w:color w:val="000000"/>
                <w:szCs w:val="20"/>
              </w:rPr>
            </w:pPr>
            <w:r w:rsidRPr="00281A01">
              <w:rPr>
                <w:rFonts w:ascii="Calibri" w:hAnsi="Calibri"/>
                <w:color w:val="000000"/>
                <w:szCs w:val="20"/>
              </w:rPr>
              <w:t>Odmena Poskytovateľov EETS</w:t>
            </w:r>
          </w:p>
        </w:tc>
        <w:tc>
          <w:tcPr>
            <w:tcW w:w="1110" w:type="dxa"/>
            <w:shd w:val="clear" w:color="auto" w:fill="auto"/>
            <w:noWrap/>
            <w:vAlign w:val="bottom"/>
            <w:hideMark/>
          </w:tcPr>
          <w:p w14:paraId="40DBAF0E" w14:textId="77777777" w:rsidR="009B75B3" w:rsidRPr="00281A01" w:rsidRDefault="009B75B3" w:rsidP="009B75B3">
            <w:pPr>
              <w:spacing w:before="0" w:after="0" w:line="240" w:lineRule="auto"/>
              <w:jc w:val="left"/>
              <w:rPr>
                <w:rFonts w:ascii="Calibri" w:hAnsi="Calibri"/>
                <w:color w:val="000000"/>
                <w:szCs w:val="20"/>
              </w:rPr>
            </w:pPr>
            <w:r w:rsidRPr="00281A01">
              <w:rPr>
                <w:rFonts w:ascii="Calibri" w:hAnsi="Calibri"/>
                <w:color w:val="000000"/>
                <w:szCs w:val="20"/>
              </w:rPr>
              <w:t> </w:t>
            </w:r>
          </w:p>
        </w:tc>
        <w:tc>
          <w:tcPr>
            <w:tcW w:w="1110" w:type="dxa"/>
            <w:shd w:val="clear" w:color="auto" w:fill="auto"/>
            <w:noWrap/>
            <w:vAlign w:val="center"/>
            <w:hideMark/>
          </w:tcPr>
          <w:p w14:paraId="46D772BE" w14:textId="7FC383DD" w:rsidR="009B75B3" w:rsidRPr="00281A01" w:rsidRDefault="009B75B3" w:rsidP="009B75B3">
            <w:pPr>
              <w:spacing w:before="0" w:after="0" w:line="240" w:lineRule="auto"/>
              <w:jc w:val="right"/>
              <w:rPr>
                <w:rFonts w:ascii="Calibri" w:hAnsi="Calibri"/>
                <w:color w:val="000000"/>
                <w:szCs w:val="20"/>
              </w:rPr>
            </w:pPr>
            <w:r>
              <w:rPr>
                <w:rFonts w:ascii="Calibri" w:hAnsi="Calibri" w:cs="Calibri"/>
                <w:color w:val="000000"/>
                <w:szCs w:val="20"/>
              </w:rPr>
              <w:t>915 284</w:t>
            </w:r>
          </w:p>
        </w:tc>
        <w:tc>
          <w:tcPr>
            <w:tcW w:w="1111" w:type="dxa"/>
            <w:shd w:val="clear" w:color="auto" w:fill="auto"/>
            <w:noWrap/>
            <w:vAlign w:val="center"/>
            <w:hideMark/>
          </w:tcPr>
          <w:p w14:paraId="5259C7E0" w14:textId="0AA6BC4F" w:rsidR="009B75B3" w:rsidRPr="00281A01" w:rsidRDefault="009B75B3" w:rsidP="009B75B3">
            <w:pPr>
              <w:spacing w:before="0" w:after="0" w:line="240" w:lineRule="auto"/>
              <w:jc w:val="right"/>
              <w:rPr>
                <w:rFonts w:ascii="Calibri" w:hAnsi="Calibri"/>
                <w:color w:val="000000"/>
                <w:szCs w:val="20"/>
              </w:rPr>
            </w:pPr>
            <w:r>
              <w:rPr>
                <w:rFonts w:ascii="Calibri" w:hAnsi="Calibri" w:cs="Calibri"/>
                <w:color w:val="000000"/>
                <w:szCs w:val="20"/>
              </w:rPr>
              <w:t>1 876 333</w:t>
            </w:r>
          </w:p>
        </w:tc>
        <w:tc>
          <w:tcPr>
            <w:tcW w:w="1110" w:type="dxa"/>
            <w:shd w:val="clear" w:color="auto" w:fill="auto"/>
            <w:noWrap/>
            <w:vAlign w:val="center"/>
            <w:hideMark/>
          </w:tcPr>
          <w:p w14:paraId="5955C8F2" w14:textId="3992E277" w:rsidR="009B75B3" w:rsidRPr="00281A01" w:rsidRDefault="009B75B3" w:rsidP="009B75B3">
            <w:pPr>
              <w:spacing w:before="0" w:after="0" w:line="240" w:lineRule="auto"/>
              <w:jc w:val="right"/>
              <w:rPr>
                <w:rFonts w:ascii="Calibri" w:hAnsi="Calibri"/>
                <w:color w:val="000000"/>
                <w:szCs w:val="20"/>
              </w:rPr>
            </w:pPr>
            <w:r>
              <w:rPr>
                <w:rFonts w:ascii="Calibri" w:hAnsi="Calibri" w:cs="Calibri"/>
                <w:color w:val="000000"/>
                <w:szCs w:val="20"/>
              </w:rPr>
              <w:t>3 846 483</w:t>
            </w:r>
          </w:p>
        </w:tc>
        <w:tc>
          <w:tcPr>
            <w:tcW w:w="1110" w:type="dxa"/>
            <w:shd w:val="clear" w:color="auto" w:fill="auto"/>
            <w:noWrap/>
            <w:vAlign w:val="center"/>
            <w:hideMark/>
          </w:tcPr>
          <w:p w14:paraId="4B0ACD52" w14:textId="5306B8CF" w:rsidR="009B75B3" w:rsidRPr="00281A01" w:rsidRDefault="009B75B3" w:rsidP="009B75B3">
            <w:pPr>
              <w:spacing w:before="0" w:after="0" w:line="240" w:lineRule="auto"/>
              <w:jc w:val="right"/>
              <w:rPr>
                <w:rFonts w:ascii="Calibri" w:hAnsi="Calibri"/>
                <w:color w:val="000000"/>
                <w:szCs w:val="20"/>
              </w:rPr>
            </w:pPr>
            <w:r>
              <w:rPr>
                <w:rFonts w:ascii="Calibri" w:hAnsi="Calibri" w:cs="Calibri"/>
                <w:color w:val="000000"/>
                <w:szCs w:val="20"/>
              </w:rPr>
              <w:t>5 913 968</w:t>
            </w:r>
          </w:p>
        </w:tc>
        <w:tc>
          <w:tcPr>
            <w:tcW w:w="1111" w:type="dxa"/>
            <w:shd w:val="clear" w:color="auto" w:fill="auto"/>
            <w:noWrap/>
            <w:vAlign w:val="center"/>
            <w:hideMark/>
          </w:tcPr>
          <w:p w14:paraId="7873A1B8" w14:textId="43ECC546" w:rsidR="009B75B3" w:rsidRPr="00281A01" w:rsidRDefault="009B75B3" w:rsidP="009B75B3">
            <w:pPr>
              <w:spacing w:before="0" w:after="0" w:line="240" w:lineRule="auto"/>
              <w:jc w:val="right"/>
              <w:rPr>
                <w:rFonts w:ascii="Calibri" w:hAnsi="Calibri"/>
                <w:color w:val="000000"/>
                <w:szCs w:val="20"/>
              </w:rPr>
            </w:pPr>
            <w:r>
              <w:rPr>
                <w:rFonts w:ascii="Calibri" w:hAnsi="Calibri" w:cs="Calibri"/>
                <w:color w:val="000000"/>
                <w:szCs w:val="20"/>
              </w:rPr>
              <w:t>7 072 120</w:t>
            </w:r>
          </w:p>
        </w:tc>
      </w:tr>
      <w:tr w:rsidR="009B75B3" w:rsidRPr="00B142FA" w14:paraId="781B89E2" w14:textId="77777777" w:rsidTr="00A40297">
        <w:trPr>
          <w:trHeight w:val="255"/>
        </w:trPr>
        <w:tc>
          <w:tcPr>
            <w:tcW w:w="2552" w:type="dxa"/>
            <w:shd w:val="clear" w:color="auto" w:fill="DEEAF6" w:themeFill="accent1" w:themeFillTint="33"/>
            <w:noWrap/>
            <w:vAlign w:val="bottom"/>
            <w:hideMark/>
          </w:tcPr>
          <w:p w14:paraId="41AFC60C" w14:textId="7B765BF2" w:rsidR="009B75B3" w:rsidRPr="00703EEF" w:rsidRDefault="00703EEF" w:rsidP="00A40297">
            <w:pPr>
              <w:spacing w:before="0" w:after="0" w:line="240" w:lineRule="auto"/>
              <w:jc w:val="left"/>
              <w:rPr>
                <w:rFonts w:ascii="Calibri" w:hAnsi="Calibri" w:cs="Calibri"/>
                <w:color w:val="000000"/>
                <w:szCs w:val="20"/>
                <w:lang w:val="cs-CZ"/>
              </w:rPr>
            </w:pPr>
            <w:r>
              <w:rPr>
                <w:rFonts w:ascii="Calibri" w:hAnsi="Calibri" w:cs="Calibri"/>
                <w:color w:val="000000"/>
                <w:szCs w:val="20"/>
              </w:rPr>
              <w:t>Odmena za služby clearingového centra a platobnej infraštruktúry</w:t>
            </w:r>
          </w:p>
        </w:tc>
        <w:tc>
          <w:tcPr>
            <w:tcW w:w="1110" w:type="dxa"/>
            <w:shd w:val="clear" w:color="auto" w:fill="auto"/>
            <w:noWrap/>
            <w:vAlign w:val="bottom"/>
            <w:hideMark/>
          </w:tcPr>
          <w:p w14:paraId="333A9117" w14:textId="77777777" w:rsidR="009B75B3" w:rsidRPr="00281A01" w:rsidRDefault="009B75B3" w:rsidP="009B75B3">
            <w:pPr>
              <w:spacing w:before="0" w:after="0" w:line="240" w:lineRule="auto"/>
              <w:jc w:val="left"/>
              <w:rPr>
                <w:rFonts w:ascii="Calibri" w:hAnsi="Calibri"/>
                <w:color w:val="000000"/>
                <w:szCs w:val="20"/>
              </w:rPr>
            </w:pPr>
            <w:r w:rsidRPr="00281A01">
              <w:rPr>
                <w:rFonts w:ascii="Calibri" w:hAnsi="Calibri"/>
                <w:color w:val="000000"/>
                <w:szCs w:val="20"/>
              </w:rPr>
              <w:t> </w:t>
            </w:r>
          </w:p>
        </w:tc>
        <w:tc>
          <w:tcPr>
            <w:tcW w:w="1110" w:type="dxa"/>
            <w:shd w:val="clear" w:color="auto" w:fill="auto"/>
            <w:noWrap/>
            <w:vAlign w:val="center"/>
            <w:hideMark/>
          </w:tcPr>
          <w:p w14:paraId="68DCE2B7" w14:textId="6D58F3BB"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12 450 020</w:t>
            </w:r>
          </w:p>
        </w:tc>
        <w:tc>
          <w:tcPr>
            <w:tcW w:w="1111" w:type="dxa"/>
            <w:shd w:val="clear" w:color="auto" w:fill="auto"/>
            <w:noWrap/>
            <w:vAlign w:val="center"/>
            <w:hideMark/>
          </w:tcPr>
          <w:p w14:paraId="7CF26BA1" w14:textId="088B3CF5"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5 687 347</w:t>
            </w:r>
          </w:p>
        </w:tc>
        <w:tc>
          <w:tcPr>
            <w:tcW w:w="1110" w:type="dxa"/>
            <w:shd w:val="clear" w:color="auto" w:fill="auto"/>
            <w:noWrap/>
            <w:vAlign w:val="center"/>
            <w:hideMark/>
          </w:tcPr>
          <w:p w14:paraId="7B1807EE" w14:textId="60AE2565"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5 187 140</w:t>
            </w:r>
          </w:p>
        </w:tc>
        <w:tc>
          <w:tcPr>
            <w:tcW w:w="1110" w:type="dxa"/>
            <w:shd w:val="clear" w:color="auto" w:fill="auto"/>
            <w:noWrap/>
            <w:vAlign w:val="center"/>
            <w:hideMark/>
          </w:tcPr>
          <w:p w14:paraId="63F52CD2" w14:textId="13DD7BD8"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4 708 686</w:t>
            </w:r>
          </w:p>
        </w:tc>
        <w:tc>
          <w:tcPr>
            <w:tcW w:w="1111" w:type="dxa"/>
            <w:shd w:val="clear" w:color="auto" w:fill="auto"/>
            <w:noWrap/>
            <w:vAlign w:val="center"/>
            <w:hideMark/>
          </w:tcPr>
          <w:p w14:paraId="4FC55BC4" w14:textId="0F8DF5C6"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4 544 148</w:t>
            </w:r>
          </w:p>
        </w:tc>
      </w:tr>
      <w:tr w:rsidR="009B75B3" w:rsidRPr="00B142FA" w14:paraId="47896234" w14:textId="77777777" w:rsidTr="00A40297">
        <w:trPr>
          <w:trHeight w:val="270"/>
        </w:trPr>
        <w:tc>
          <w:tcPr>
            <w:tcW w:w="2552" w:type="dxa"/>
            <w:shd w:val="clear" w:color="000000" w:fill="DDEBF7"/>
            <w:noWrap/>
            <w:vAlign w:val="bottom"/>
            <w:hideMark/>
          </w:tcPr>
          <w:p w14:paraId="53858F26" w14:textId="77777777" w:rsidR="009B75B3" w:rsidRPr="00281A01" w:rsidRDefault="009B75B3" w:rsidP="009B75B3">
            <w:pPr>
              <w:spacing w:before="0" w:after="0" w:line="240" w:lineRule="auto"/>
              <w:jc w:val="left"/>
              <w:rPr>
                <w:rFonts w:ascii="Calibri" w:hAnsi="Calibri"/>
                <w:color w:val="000000"/>
                <w:szCs w:val="20"/>
              </w:rPr>
            </w:pPr>
            <w:r w:rsidRPr="00281A01">
              <w:rPr>
                <w:rFonts w:ascii="Calibri" w:hAnsi="Calibri"/>
                <w:color w:val="000000"/>
                <w:szCs w:val="20"/>
              </w:rPr>
              <w:t>Iné služby (technická pomoc, projektové riadenie)</w:t>
            </w:r>
          </w:p>
        </w:tc>
        <w:tc>
          <w:tcPr>
            <w:tcW w:w="1110" w:type="dxa"/>
            <w:shd w:val="clear" w:color="auto" w:fill="auto"/>
            <w:noWrap/>
            <w:vAlign w:val="center"/>
            <w:hideMark/>
          </w:tcPr>
          <w:p w14:paraId="0604E95D" w14:textId="608C45B0" w:rsidR="009B75B3" w:rsidRPr="00281A01" w:rsidRDefault="00656414" w:rsidP="00A40297">
            <w:pPr>
              <w:spacing w:before="0" w:after="0" w:line="240" w:lineRule="auto"/>
              <w:jc w:val="right"/>
              <w:rPr>
                <w:rFonts w:ascii="Calibri" w:hAnsi="Calibri"/>
                <w:color w:val="000000"/>
                <w:szCs w:val="20"/>
              </w:rPr>
            </w:pPr>
            <w:r w:rsidRPr="00B142FA">
              <w:rPr>
                <w:rFonts w:ascii="Calibri" w:hAnsi="Calibri"/>
                <w:color w:val="000000"/>
                <w:szCs w:val="20"/>
              </w:rPr>
              <w:t>168 300</w:t>
            </w:r>
          </w:p>
        </w:tc>
        <w:tc>
          <w:tcPr>
            <w:tcW w:w="1110" w:type="dxa"/>
            <w:shd w:val="clear" w:color="auto" w:fill="auto"/>
            <w:noWrap/>
            <w:vAlign w:val="center"/>
            <w:hideMark/>
          </w:tcPr>
          <w:p w14:paraId="05795587" w14:textId="541A75FC"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3 352 414</w:t>
            </w:r>
          </w:p>
        </w:tc>
        <w:tc>
          <w:tcPr>
            <w:tcW w:w="1111" w:type="dxa"/>
            <w:shd w:val="clear" w:color="auto" w:fill="auto"/>
            <w:noWrap/>
            <w:vAlign w:val="center"/>
            <w:hideMark/>
          </w:tcPr>
          <w:p w14:paraId="1AD2CD20" w14:textId="162D2236"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3 352 414</w:t>
            </w:r>
          </w:p>
        </w:tc>
        <w:tc>
          <w:tcPr>
            <w:tcW w:w="1110" w:type="dxa"/>
            <w:shd w:val="clear" w:color="auto" w:fill="auto"/>
            <w:noWrap/>
            <w:vAlign w:val="center"/>
            <w:hideMark/>
          </w:tcPr>
          <w:p w14:paraId="2413F721" w14:textId="5C86270A"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3 352 414</w:t>
            </w:r>
          </w:p>
        </w:tc>
        <w:tc>
          <w:tcPr>
            <w:tcW w:w="1110" w:type="dxa"/>
            <w:shd w:val="clear" w:color="auto" w:fill="auto"/>
            <w:noWrap/>
            <w:vAlign w:val="center"/>
            <w:hideMark/>
          </w:tcPr>
          <w:p w14:paraId="2CFC70CD" w14:textId="21949808"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3 352 414</w:t>
            </w:r>
          </w:p>
        </w:tc>
        <w:tc>
          <w:tcPr>
            <w:tcW w:w="1111" w:type="dxa"/>
            <w:shd w:val="clear" w:color="auto" w:fill="auto"/>
            <w:noWrap/>
            <w:vAlign w:val="center"/>
            <w:hideMark/>
          </w:tcPr>
          <w:p w14:paraId="6B802AB5" w14:textId="5C9925E0" w:rsidR="009B75B3" w:rsidRPr="00281A01" w:rsidRDefault="009B75B3" w:rsidP="00B142FA">
            <w:pPr>
              <w:spacing w:before="0" w:after="0" w:line="240" w:lineRule="auto"/>
              <w:jc w:val="right"/>
              <w:rPr>
                <w:rFonts w:ascii="Calibri" w:hAnsi="Calibri"/>
                <w:color w:val="000000"/>
                <w:szCs w:val="20"/>
              </w:rPr>
            </w:pPr>
            <w:r w:rsidRPr="00B142FA">
              <w:rPr>
                <w:rFonts w:ascii="Calibri" w:hAnsi="Calibri"/>
                <w:color w:val="000000"/>
                <w:szCs w:val="20"/>
              </w:rPr>
              <w:t>3 352 414</w:t>
            </w:r>
          </w:p>
        </w:tc>
      </w:tr>
      <w:tr w:rsidR="00BB6B3F" w:rsidRPr="0037598E" w14:paraId="449C4EB7" w14:textId="77777777" w:rsidTr="00A40297">
        <w:trPr>
          <w:trHeight w:val="270"/>
        </w:trPr>
        <w:tc>
          <w:tcPr>
            <w:tcW w:w="2552" w:type="dxa"/>
            <w:shd w:val="clear" w:color="000000" w:fill="BDD7EE"/>
            <w:noWrap/>
            <w:vAlign w:val="bottom"/>
            <w:hideMark/>
          </w:tcPr>
          <w:p w14:paraId="7C893729" w14:textId="21133CA8" w:rsidR="00BB6B3F" w:rsidRPr="00281A01" w:rsidRDefault="00BB6B3F" w:rsidP="00BB6B3F">
            <w:pPr>
              <w:spacing w:before="0" w:after="0" w:line="240" w:lineRule="auto"/>
              <w:jc w:val="left"/>
              <w:rPr>
                <w:rFonts w:ascii="Calibri" w:hAnsi="Calibri"/>
                <w:color w:val="000000"/>
                <w:szCs w:val="20"/>
              </w:rPr>
            </w:pPr>
            <w:r w:rsidRPr="00281A01">
              <w:rPr>
                <w:rFonts w:ascii="Calibri" w:hAnsi="Calibri"/>
                <w:color w:val="000000"/>
                <w:szCs w:val="20"/>
              </w:rPr>
              <w:t xml:space="preserve">Celková suma EUR, </w:t>
            </w:r>
            <w:r w:rsidRPr="0037598E">
              <w:rPr>
                <w:rFonts w:ascii="Calibri" w:hAnsi="Calibri"/>
                <w:color w:val="000000"/>
                <w:szCs w:val="20"/>
              </w:rPr>
              <w:t>variant 1</w:t>
            </w:r>
          </w:p>
        </w:tc>
        <w:tc>
          <w:tcPr>
            <w:tcW w:w="1110" w:type="dxa"/>
            <w:shd w:val="clear" w:color="000000" w:fill="BDD7EE"/>
            <w:noWrap/>
            <w:vAlign w:val="center"/>
            <w:hideMark/>
          </w:tcPr>
          <w:p w14:paraId="28E5C8A5" w14:textId="3D590B50" w:rsidR="00BB6B3F" w:rsidRPr="00281A01" w:rsidRDefault="00BB6B3F" w:rsidP="00BB6B3F">
            <w:pPr>
              <w:spacing w:before="0" w:after="0" w:line="240" w:lineRule="auto"/>
              <w:jc w:val="right"/>
              <w:rPr>
                <w:rFonts w:ascii="Calibri" w:hAnsi="Calibri"/>
                <w:color w:val="000000"/>
                <w:szCs w:val="20"/>
              </w:rPr>
            </w:pPr>
            <w:r>
              <w:rPr>
                <w:rFonts w:ascii="Calibri" w:hAnsi="Calibri" w:cs="Calibri"/>
                <w:color w:val="000000"/>
                <w:szCs w:val="20"/>
              </w:rPr>
              <w:t>3 345 568</w:t>
            </w:r>
          </w:p>
        </w:tc>
        <w:tc>
          <w:tcPr>
            <w:tcW w:w="1110" w:type="dxa"/>
            <w:shd w:val="clear" w:color="000000" w:fill="BDD7EE"/>
            <w:noWrap/>
            <w:vAlign w:val="center"/>
            <w:hideMark/>
          </w:tcPr>
          <w:p w14:paraId="124F33FE" w14:textId="1C13D66E" w:rsidR="00BB6B3F" w:rsidRPr="00281A01" w:rsidRDefault="00BB6B3F" w:rsidP="00BB6B3F">
            <w:pPr>
              <w:spacing w:before="0" w:after="0" w:line="240" w:lineRule="auto"/>
              <w:jc w:val="right"/>
              <w:rPr>
                <w:rFonts w:ascii="Calibri" w:hAnsi="Calibri"/>
                <w:color w:val="000000"/>
                <w:szCs w:val="20"/>
              </w:rPr>
            </w:pPr>
            <w:r>
              <w:rPr>
                <w:rFonts w:ascii="Calibri" w:hAnsi="Calibri" w:cs="Calibri"/>
                <w:color w:val="000000"/>
                <w:szCs w:val="20"/>
              </w:rPr>
              <w:t>80 404 602</w:t>
            </w:r>
          </w:p>
        </w:tc>
        <w:tc>
          <w:tcPr>
            <w:tcW w:w="1111" w:type="dxa"/>
            <w:shd w:val="clear" w:color="000000" w:fill="BDD7EE"/>
            <w:noWrap/>
            <w:vAlign w:val="center"/>
            <w:hideMark/>
          </w:tcPr>
          <w:p w14:paraId="038A46C8" w14:textId="0AB65352" w:rsidR="00BB6B3F" w:rsidRPr="00281A01" w:rsidRDefault="00BB6B3F" w:rsidP="00BB6B3F">
            <w:pPr>
              <w:spacing w:before="0" w:after="0" w:line="240" w:lineRule="auto"/>
              <w:jc w:val="right"/>
              <w:rPr>
                <w:rFonts w:ascii="Calibri" w:hAnsi="Calibri"/>
                <w:color w:val="000000"/>
                <w:szCs w:val="20"/>
              </w:rPr>
            </w:pPr>
            <w:r>
              <w:rPr>
                <w:rFonts w:ascii="Calibri" w:hAnsi="Calibri" w:cs="Calibri"/>
                <w:color w:val="000000"/>
                <w:szCs w:val="20"/>
              </w:rPr>
              <w:t>70 039 061</w:t>
            </w:r>
          </w:p>
        </w:tc>
        <w:tc>
          <w:tcPr>
            <w:tcW w:w="1110" w:type="dxa"/>
            <w:shd w:val="clear" w:color="000000" w:fill="BDD7EE"/>
            <w:noWrap/>
            <w:vAlign w:val="center"/>
            <w:hideMark/>
          </w:tcPr>
          <w:p w14:paraId="6ACA2046" w14:textId="0FA71AC1" w:rsidR="00BB6B3F" w:rsidRPr="00281A01" w:rsidRDefault="00BB6B3F" w:rsidP="00BB6B3F">
            <w:pPr>
              <w:spacing w:before="0" w:after="0" w:line="240" w:lineRule="auto"/>
              <w:jc w:val="right"/>
              <w:rPr>
                <w:rFonts w:ascii="Calibri" w:hAnsi="Calibri"/>
                <w:color w:val="000000"/>
                <w:szCs w:val="20"/>
              </w:rPr>
            </w:pPr>
            <w:r>
              <w:rPr>
                <w:rFonts w:ascii="Calibri" w:hAnsi="Calibri" w:cs="Calibri"/>
                <w:color w:val="000000"/>
                <w:szCs w:val="20"/>
              </w:rPr>
              <w:t>69 302 938</w:t>
            </w:r>
          </w:p>
        </w:tc>
        <w:tc>
          <w:tcPr>
            <w:tcW w:w="1110" w:type="dxa"/>
            <w:shd w:val="clear" w:color="000000" w:fill="BDD7EE"/>
            <w:noWrap/>
            <w:vAlign w:val="center"/>
            <w:hideMark/>
          </w:tcPr>
          <w:p w14:paraId="6745116B" w14:textId="18BA06CD" w:rsidR="00BB6B3F" w:rsidRPr="00281A01" w:rsidRDefault="00BB6B3F" w:rsidP="00BB6B3F">
            <w:pPr>
              <w:spacing w:before="0" w:after="0" w:line="240" w:lineRule="auto"/>
              <w:jc w:val="right"/>
              <w:rPr>
                <w:rFonts w:ascii="Calibri" w:hAnsi="Calibri"/>
                <w:color w:val="000000"/>
                <w:szCs w:val="20"/>
              </w:rPr>
            </w:pPr>
            <w:r>
              <w:rPr>
                <w:rFonts w:ascii="Calibri" w:hAnsi="Calibri" w:cs="Calibri"/>
                <w:color w:val="000000"/>
                <w:szCs w:val="20"/>
              </w:rPr>
              <w:t>69 305 294</w:t>
            </w:r>
          </w:p>
        </w:tc>
        <w:tc>
          <w:tcPr>
            <w:tcW w:w="1111" w:type="dxa"/>
            <w:shd w:val="clear" w:color="000000" w:fill="BDD7EE"/>
            <w:noWrap/>
            <w:vAlign w:val="center"/>
            <w:hideMark/>
          </w:tcPr>
          <w:p w14:paraId="5FBA169A" w14:textId="33A3B227" w:rsidR="00BB6B3F" w:rsidRPr="00281A01" w:rsidRDefault="00BB6B3F" w:rsidP="00BB6B3F">
            <w:pPr>
              <w:spacing w:before="0" w:after="0" w:line="240" w:lineRule="auto"/>
              <w:jc w:val="right"/>
              <w:rPr>
                <w:rFonts w:ascii="Calibri" w:hAnsi="Calibri"/>
                <w:color w:val="000000"/>
                <w:szCs w:val="20"/>
              </w:rPr>
            </w:pPr>
            <w:r>
              <w:rPr>
                <w:rFonts w:ascii="Calibri" w:hAnsi="Calibri" w:cs="Calibri"/>
                <w:color w:val="000000"/>
                <w:szCs w:val="20"/>
              </w:rPr>
              <w:t>69 633 586</w:t>
            </w:r>
          </w:p>
        </w:tc>
      </w:tr>
    </w:tbl>
    <w:p w14:paraId="3D4E9C6A" w14:textId="21B8244F" w:rsidR="00281A01" w:rsidRDefault="0037598E" w:rsidP="00281A01">
      <w:pPr>
        <w:rPr>
          <w:i/>
          <w:sz w:val="16"/>
        </w:rPr>
      </w:pPr>
      <w:r w:rsidRPr="0037598E">
        <w:rPr>
          <w:i/>
          <w:sz w:val="16"/>
        </w:rPr>
        <w:t>Zdroj: výpočet na základe údajov tabuľkách vyššie</w:t>
      </w:r>
    </w:p>
    <w:p w14:paraId="3055B435" w14:textId="77777777" w:rsidR="00A711F3" w:rsidRPr="0037598E" w:rsidRDefault="00A711F3" w:rsidP="00281A01">
      <w:pPr>
        <w:rPr>
          <w:i/>
          <w:sz w:val="16"/>
        </w:rPr>
      </w:pPr>
    </w:p>
    <w:p w14:paraId="03CA561A" w14:textId="77777777" w:rsidR="008915A2" w:rsidRDefault="008915A2" w:rsidP="008915A2">
      <w:pPr>
        <w:pStyle w:val="Heading3"/>
      </w:pPr>
      <w:bookmarkStart w:id="50" w:name="_Toc87348716"/>
      <w:r>
        <w:t>Príjmy</w:t>
      </w:r>
      <w:bookmarkEnd w:id="50"/>
    </w:p>
    <w:p w14:paraId="0455CEFC" w14:textId="7A7B75BE" w:rsidR="008915A2" w:rsidRDefault="008915A2" w:rsidP="008915A2">
      <w:r>
        <w:t>Príjmy posudzovaného variantu sú tvorené príjmom z elektronického výberu mýta. Prognóza príjmov z elektronického výberu mýta na základe analýzy historických dopravných dát a plánovaného rozvoja cestnej infraštruktúry je podrobne spracovaná v</w:t>
      </w:r>
      <w:r w:rsidR="00471DFC">
        <w:t xml:space="preserve"> </w:t>
      </w:r>
      <w:r w:rsidR="00471DFC" w:rsidRPr="00471DFC">
        <w:t>Štúdi</w:t>
      </w:r>
      <w:r w:rsidR="00471DFC">
        <w:t>i</w:t>
      </w:r>
      <w:r w:rsidR="00471DFC" w:rsidRPr="00471DFC">
        <w:t xml:space="preserve"> uskutočniteľnosti EMS</w:t>
      </w:r>
      <w:r>
        <w:t>.</w:t>
      </w:r>
    </w:p>
    <w:p w14:paraId="6AF23B1D" w14:textId="00CBC2CD" w:rsidR="008915A2" w:rsidRDefault="008915A2" w:rsidP="00FA6605">
      <w:pPr>
        <w:pStyle w:val="Caption"/>
      </w:pPr>
      <w:r>
        <w:t xml:space="preserve">Tab. </w:t>
      </w:r>
      <w:r>
        <w:fldChar w:fldCharType="begin"/>
      </w:r>
      <w:r>
        <w:instrText xml:space="preserve"> SEQ Tab. \* ARABIC </w:instrText>
      </w:r>
      <w:r>
        <w:fldChar w:fldCharType="separate"/>
      </w:r>
      <w:r w:rsidR="00A86720">
        <w:rPr>
          <w:noProof/>
        </w:rPr>
        <w:t>7</w:t>
      </w:r>
      <w:r>
        <w:fldChar w:fldCharType="end"/>
      </w:r>
      <w:r>
        <w:t xml:space="preserve"> - Príjmy, variant </w:t>
      </w:r>
      <w:r w:rsidR="00C01978">
        <w:t>1</w:t>
      </w:r>
    </w:p>
    <w:tbl>
      <w:tblPr>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2977"/>
        <w:gridCol w:w="1256"/>
        <w:gridCol w:w="1256"/>
        <w:gridCol w:w="1256"/>
        <w:gridCol w:w="1256"/>
        <w:gridCol w:w="1256"/>
      </w:tblGrid>
      <w:tr w:rsidR="008915A2" w:rsidRPr="008915A2" w14:paraId="13592B30" w14:textId="77777777" w:rsidTr="007364F5">
        <w:trPr>
          <w:trHeight w:val="387"/>
        </w:trPr>
        <w:tc>
          <w:tcPr>
            <w:tcW w:w="2977" w:type="dxa"/>
            <w:shd w:val="clear" w:color="auto" w:fill="BDD6EE" w:themeFill="accent1" w:themeFillTint="66"/>
            <w:noWrap/>
            <w:vAlign w:val="center"/>
            <w:hideMark/>
          </w:tcPr>
          <w:p w14:paraId="69D2AFC2" w14:textId="77777777" w:rsidR="008915A2" w:rsidRPr="00A94C01" w:rsidRDefault="008915A2" w:rsidP="007364F5">
            <w:pPr>
              <w:spacing w:before="0" w:after="0" w:line="240" w:lineRule="auto"/>
              <w:jc w:val="center"/>
              <w:rPr>
                <w:rFonts w:ascii="Calibri" w:hAnsi="Calibri"/>
                <w:szCs w:val="20"/>
              </w:rPr>
            </w:pPr>
            <w:r w:rsidRPr="008915A2">
              <w:rPr>
                <w:rFonts w:ascii="Calibri" w:hAnsi="Calibri"/>
                <w:szCs w:val="20"/>
              </w:rPr>
              <w:t>Údaje v EUR</w:t>
            </w:r>
          </w:p>
        </w:tc>
        <w:tc>
          <w:tcPr>
            <w:tcW w:w="1256" w:type="dxa"/>
            <w:shd w:val="clear" w:color="auto" w:fill="BDD6EE" w:themeFill="accent1" w:themeFillTint="66"/>
            <w:noWrap/>
            <w:vAlign w:val="center"/>
            <w:hideMark/>
          </w:tcPr>
          <w:p w14:paraId="52AD98CA" w14:textId="77777777" w:rsidR="008915A2" w:rsidRPr="00A94C01" w:rsidRDefault="008915A2" w:rsidP="007364F5">
            <w:pPr>
              <w:spacing w:before="0" w:after="0" w:line="240" w:lineRule="auto"/>
              <w:jc w:val="center"/>
              <w:rPr>
                <w:rFonts w:ascii="Calibri" w:hAnsi="Calibri"/>
                <w:szCs w:val="20"/>
              </w:rPr>
            </w:pPr>
            <w:r w:rsidRPr="00A94C01">
              <w:rPr>
                <w:rFonts w:ascii="Calibri" w:hAnsi="Calibri"/>
                <w:szCs w:val="20"/>
              </w:rPr>
              <w:t>2022</w:t>
            </w:r>
          </w:p>
        </w:tc>
        <w:tc>
          <w:tcPr>
            <w:tcW w:w="1256" w:type="dxa"/>
            <w:shd w:val="clear" w:color="auto" w:fill="BDD6EE" w:themeFill="accent1" w:themeFillTint="66"/>
            <w:noWrap/>
            <w:vAlign w:val="center"/>
            <w:hideMark/>
          </w:tcPr>
          <w:p w14:paraId="68CB6C20" w14:textId="77777777" w:rsidR="008915A2" w:rsidRPr="00A94C01" w:rsidRDefault="008915A2" w:rsidP="007364F5">
            <w:pPr>
              <w:spacing w:before="0" w:after="0" w:line="240" w:lineRule="auto"/>
              <w:jc w:val="center"/>
              <w:rPr>
                <w:rFonts w:ascii="Calibri" w:hAnsi="Calibri"/>
                <w:szCs w:val="20"/>
              </w:rPr>
            </w:pPr>
            <w:r w:rsidRPr="00A94C01">
              <w:rPr>
                <w:rFonts w:ascii="Calibri" w:hAnsi="Calibri"/>
                <w:szCs w:val="20"/>
              </w:rPr>
              <w:t>2023</w:t>
            </w:r>
          </w:p>
        </w:tc>
        <w:tc>
          <w:tcPr>
            <w:tcW w:w="1256" w:type="dxa"/>
            <w:shd w:val="clear" w:color="auto" w:fill="BDD6EE" w:themeFill="accent1" w:themeFillTint="66"/>
            <w:noWrap/>
            <w:vAlign w:val="center"/>
            <w:hideMark/>
          </w:tcPr>
          <w:p w14:paraId="5EFFF34C" w14:textId="77777777" w:rsidR="008915A2" w:rsidRPr="00A94C01" w:rsidRDefault="008915A2" w:rsidP="007364F5">
            <w:pPr>
              <w:spacing w:before="0" w:after="0" w:line="240" w:lineRule="auto"/>
              <w:jc w:val="center"/>
              <w:rPr>
                <w:rFonts w:ascii="Calibri" w:hAnsi="Calibri"/>
                <w:szCs w:val="20"/>
              </w:rPr>
            </w:pPr>
            <w:r w:rsidRPr="00A94C01">
              <w:rPr>
                <w:rFonts w:ascii="Calibri" w:hAnsi="Calibri"/>
                <w:szCs w:val="20"/>
              </w:rPr>
              <w:t>2024</w:t>
            </w:r>
          </w:p>
        </w:tc>
        <w:tc>
          <w:tcPr>
            <w:tcW w:w="1256" w:type="dxa"/>
            <w:shd w:val="clear" w:color="auto" w:fill="BDD6EE" w:themeFill="accent1" w:themeFillTint="66"/>
            <w:noWrap/>
            <w:vAlign w:val="center"/>
            <w:hideMark/>
          </w:tcPr>
          <w:p w14:paraId="1C258520" w14:textId="77777777" w:rsidR="008915A2" w:rsidRPr="00A94C01" w:rsidRDefault="008915A2" w:rsidP="007364F5">
            <w:pPr>
              <w:spacing w:before="0" w:after="0" w:line="240" w:lineRule="auto"/>
              <w:jc w:val="center"/>
              <w:rPr>
                <w:rFonts w:ascii="Calibri" w:hAnsi="Calibri"/>
                <w:szCs w:val="20"/>
              </w:rPr>
            </w:pPr>
            <w:r w:rsidRPr="00A94C01">
              <w:rPr>
                <w:rFonts w:ascii="Calibri" w:hAnsi="Calibri"/>
                <w:szCs w:val="20"/>
              </w:rPr>
              <w:t>2025</w:t>
            </w:r>
          </w:p>
        </w:tc>
        <w:tc>
          <w:tcPr>
            <w:tcW w:w="1256" w:type="dxa"/>
            <w:shd w:val="clear" w:color="auto" w:fill="BDD6EE" w:themeFill="accent1" w:themeFillTint="66"/>
            <w:noWrap/>
            <w:vAlign w:val="center"/>
            <w:hideMark/>
          </w:tcPr>
          <w:p w14:paraId="6670E049" w14:textId="77777777" w:rsidR="008915A2" w:rsidRPr="00A94C01" w:rsidRDefault="008915A2" w:rsidP="007364F5">
            <w:pPr>
              <w:spacing w:before="0" w:after="0" w:line="240" w:lineRule="auto"/>
              <w:jc w:val="center"/>
              <w:rPr>
                <w:rFonts w:ascii="Calibri" w:hAnsi="Calibri"/>
                <w:szCs w:val="20"/>
              </w:rPr>
            </w:pPr>
            <w:r w:rsidRPr="00A94C01">
              <w:rPr>
                <w:rFonts w:ascii="Calibri" w:hAnsi="Calibri"/>
                <w:szCs w:val="20"/>
              </w:rPr>
              <w:t>2026</w:t>
            </w:r>
          </w:p>
        </w:tc>
      </w:tr>
      <w:tr w:rsidR="008915A2" w:rsidRPr="008915A2" w14:paraId="1B4BC950" w14:textId="77777777" w:rsidTr="008915A2">
        <w:trPr>
          <w:trHeight w:val="255"/>
        </w:trPr>
        <w:tc>
          <w:tcPr>
            <w:tcW w:w="2977" w:type="dxa"/>
            <w:shd w:val="clear" w:color="auto" w:fill="DEEAF6" w:themeFill="accent1" w:themeFillTint="33"/>
            <w:noWrap/>
            <w:vAlign w:val="bottom"/>
            <w:hideMark/>
          </w:tcPr>
          <w:p w14:paraId="5EDA7BAB" w14:textId="77777777" w:rsidR="008915A2" w:rsidRPr="00A94C01" w:rsidRDefault="008915A2" w:rsidP="008915A2">
            <w:pPr>
              <w:spacing w:before="0" w:after="0" w:line="240" w:lineRule="auto"/>
              <w:jc w:val="left"/>
              <w:rPr>
                <w:rFonts w:ascii="Calibri" w:hAnsi="Calibri"/>
                <w:szCs w:val="20"/>
              </w:rPr>
            </w:pPr>
            <w:r w:rsidRPr="00A94C01">
              <w:rPr>
                <w:rFonts w:ascii="Calibri" w:hAnsi="Calibri"/>
                <w:szCs w:val="20"/>
              </w:rPr>
              <w:lastRenderedPageBreak/>
              <w:t>Prognóza výberu mýta</w:t>
            </w:r>
          </w:p>
        </w:tc>
        <w:tc>
          <w:tcPr>
            <w:tcW w:w="1256" w:type="dxa"/>
            <w:shd w:val="clear" w:color="auto" w:fill="auto"/>
            <w:noWrap/>
            <w:vAlign w:val="bottom"/>
            <w:hideMark/>
          </w:tcPr>
          <w:p w14:paraId="7EC747E7" w14:textId="77777777" w:rsidR="008915A2" w:rsidRPr="00A94C01" w:rsidRDefault="008915A2" w:rsidP="008915A2">
            <w:pPr>
              <w:spacing w:before="0" w:after="0" w:line="240" w:lineRule="auto"/>
              <w:jc w:val="right"/>
              <w:rPr>
                <w:rFonts w:ascii="Calibri" w:hAnsi="Calibri"/>
                <w:szCs w:val="20"/>
              </w:rPr>
            </w:pPr>
            <w:r w:rsidRPr="00A94C01">
              <w:rPr>
                <w:rFonts w:ascii="Calibri" w:hAnsi="Calibri"/>
                <w:szCs w:val="20"/>
              </w:rPr>
              <w:t>233 655 755</w:t>
            </w:r>
          </w:p>
        </w:tc>
        <w:tc>
          <w:tcPr>
            <w:tcW w:w="1256" w:type="dxa"/>
            <w:shd w:val="clear" w:color="auto" w:fill="auto"/>
            <w:noWrap/>
            <w:vAlign w:val="bottom"/>
            <w:hideMark/>
          </w:tcPr>
          <w:p w14:paraId="3E1E61A1" w14:textId="77777777" w:rsidR="008915A2" w:rsidRPr="00A94C01" w:rsidRDefault="008915A2" w:rsidP="008915A2">
            <w:pPr>
              <w:spacing w:before="0" w:after="0" w:line="240" w:lineRule="auto"/>
              <w:jc w:val="right"/>
              <w:rPr>
                <w:rFonts w:ascii="Calibri" w:hAnsi="Calibri"/>
                <w:szCs w:val="20"/>
              </w:rPr>
            </w:pPr>
            <w:r w:rsidRPr="00A94C01">
              <w:rPr>
                <w:rFonts w:ascii="Calibri" w:hAnsi="Calibri"/>
                <w:szCs w:val="20"/>
              </w:rPr>
              <w:t>245 504 057</w:t>
            </w:r>
          </w:p>
        </w:tc>
        <w:tc>
          <w:tcPr>
            <w:tcW w:w="1256" w:type="dxa"/>
            <w:shd w:val="clear" w:color="auto" w:fill="auto"/>
            <w:noWrap/>
            <w:vAlign w:val="bottom"/>
            <w:hideMark/>
          </w:tcPr>
          <w:p w14:paraId="2E9428F1" w14:textId="77777777" w:rsidR="008915A2" w:rsidRPr="00A94C01" w:rsidRDefault="008915A2" w:rsidP="008915A2">
            <w:pPr>
              <w:spacing w:before="0" w:after="0" w:line="240" w:lineRule="auto"/>
              <w:jc w:val="right"/>
              <w:rPr>
                <w:rFonts w:ascii="Calibri" w:hAnsi="Calibri"/>
                <w:szCs w:val="20"/>
              </w:rPr>
            </w:pPr>
            <w:r w:rsidRPr="00A94C01">
              <w:rPr>
                <w:rFonts w:ascii="Calibri" w:hAnsi="Calibri"/>
                <w:szCs w:val="20"/>
              </w:rPr>
              <w:t>248 712 141</w:t>
            </w:r>
          </w:p>
        </w:tc>
        <w:tc>
          <w:tcPr>
            <w:tcW w:w="1256" w:type="dxa"/>
            <w:shd w:val="clear" w:color="auto" w:fill="auto"/>
            <w:noWrap/>
            <w:vAlign w:val="bottom"/>
            <w:hideMark/>
          </w:tcPr>
          <w:p w14:paraId="04F37C06" w14:textId="77777777" w:rsidR="008915A2" w:rsidRPr="00A94C01" w:rsidRDefault="008915A2" w:rsidP="008915A2">
            <w:pPr>
              <w:spacing w:before="0" w:after="0" w:line="240" w:lineRule="auto"/>
              <w:jc w:val="right"/>
              <w:rPr>
                <w:rFonts w:ascii="Calibri" w:hAnsi="Calibri"/>
                <w:szCs w:val="20"/>
              </w:rPr>
            </w:pPr>
            <w:r w:rsidRPr="00A94C01">
              <w:rPr>
                <w:rFonts w:ascii="Calibri" w:hAnsi="Calibri"/>
                <w:szCs w:val="20"/>
              </w:rPr>
              <w:t>251 653 366</w:t>
            </w:r>
          </w:p>
        </w:tc>
        <w:tc>
          <w:tcPr>
            <w:tcW w:w="1256" w:type="dxa"/>
            <w:shd w:val="clear" w:color="auto" w:fill="auto"/>
            <w:noWrap/>
            <w:vAlign w:val="bottom"/>
            <w:hideMark/>
          </w:tcPr>
          <w:p w14:paraId="0BE996D3" w14:textId="77777777" w:rsidR="008915A2" w:rsidRPr="00A94C01" w:rsidRDefault="008915A2" w:rsidP="008915A2">
            <w:pPr>
              <w:spacing w:before="0" w:after="0" w:line="240" w:lineRule="auto"/>
              <w:jc w:val="right"/>
              <w:rPr>
                <w:rFonts w:ascii="Calibri" w:hAnsi="Calibri"/>
                <w:szCs w:val="20"/>
              </w:rPr>
            </w:pPr>
            <w:r w:rsidRPr="00A94C01">
              <w:rPr>
                <w:rFonts w:ascii="Calibri" w:hAnsi="Calibri"/>
                <w:szCs w:val="20"/>
              </w:rPr>
              <w:t>255 239 016</w:t>
            </w:r>
          </w:p>
        </w:tc>
      </w:tr>
    </w:tbl>
    <w:p w14:paraId="4576BF6E" w14:textId="310FC541" w:rsidR="008915A2" w:rsidRDefault="008915A2" w:rsidP="008915A2">
      <w:pPr>
        <w:rPr>
          <w:i/>
          <w:sz w:val="16"/>
        </w:rPr>
      </w:pPr>
      <w:r w:rsidRPr="009F1AE2">
        <w:rPr>
          <w:i/>
          <w:sz w:val="16"/>
        </w:rPr>
        <w:t>Zdroj: Štúdia uskutočniteľnosti EMS</w:t>
      </w:r>
    </w:p>
    <w:p w14:paraId="331F7AC3" w14:textId="77777777" w:rsidR="00BC7853" w:rsidRPr="009F1AE2" w:rsidRDefault="00BC7853" w:rsidP="008915A2">
      <w:pPr>
        <w:rPr>
          <w:i/>
          <w:sz w:val="16"/>
        </w:rPr>
      </w:pPr>
    </w:p>
    <w:p w14:paraId="045491CC" w14:textId="77777777" w:rsidR="008915A2" w:rsidRDefault="008915A2" w:rsidP="008915A2">
      <w:pPr>
        <w:pStyle w:val="Heading3"/>
      </w:pPr>
      <w:bookmarkStart w:id="51" w:name="_Toc87348717"/>
      <w:r>
        <w:t>Celkové náklady životného cyklu projektu</w:t>
      </w:r>
      <w:bookmarkEnd w:id="51"/>
    </w:p>
    <w:p w14:paraId="3B69F223" w14:textId="6CA5CF0B" w:rsidR="008915A2" w:rsidRPr="008915A2" w:rsidRDefault="008915A2" w:rsidP="008915A2">
      <w:r>
        <w:t>Celkové náklady životného cyklu projektu vo variant</w:t>
      </w:r>
      <w:r w:rsidR="00DC00BC">
        <w:t>e</w:t>
      </w:r>
      <w:r>
        <w:t xml:space="preserve"> </w:t>
      </w:r>
      <w:r w:rsidR="00EA633C">
        <w:t>1, ktorý je charakterizovaný princípom stanovenia</w:t>
      </w:r>
      <w:r>
        <w:t xml:space="preserve"> </w:t>
      </w:r>
      <w:r w:rsidR="00EA633C">
        <w:t xml:space="preserve">výkonnostnej odmeny </w:t>
      </w:r>
      <w:r w:rsidR="0037598E">
        <w:t xml:space="preserve">poskytovateľov </w:t>
      </w:r>
      <w:r w:rsidR="00656414">
        <w:t xml:space="preserve">EETS za kvantitatívne plnenie </w:t>
      </w:r>
      <w:r w:rsidR="00EA633C">
        <w:t xml:space="preserve">služieb </w:t>
      </w:r>
      <w:r w:rsidR="0037598E">
        <w:t xml:space="preserve">na základe </w:t>
      </w:r>
      <w:r w:rsidR="00EA633C">
        <w:t xml:space="preserve">pevnej jednotkovej </w:t>
      </w:r>
      <w:r w:rsidR="0037598E">
        <w:t xml:space="preserve">ceny </w:t>
      </w:r>
      <w:r w:rsidR="00EA633C">
        <w:t xml:space="preserve">za spracovanie </w:t>
      </w:r>
      <w:r w:rsidR="0037598E">
        <w:t>mýtnej transakcie</w:t>
      </w:r>
      <w:r>
        <w:t xml:space="preserve"> za päťročné obdobie prevádzkovania výberu mýta</w:t>
      </w:r>
      <w:r w:rsidR="009243C2">
        <w:t>,</w:t>
      </w:r>
      <w:r>
        <w:t xml:space="preserve"> predstavujú sumu </w:t>
      </w:r>
      <w:r w:rsidR="00656414" w:rsidRPr="00A40297">
        <w:rPr>
          <w:b/>
        </w:rPr>
        <w:t>362 031</w:t>
      </w:r>
      <w:r w:rsidR="009243C2">
        <w:rPr>
          <w:b/>
        </w:rPr>
        <w:t> </w:t>
      </w:r>
      <w:r w:rsidR="00656414" w:rsidRPr="00A40297">
        <w:rPr>
          <w:b/>
        </w:rPr>
        <w:t>049</w:t>
      </w:r>
      <w:r w:rsidR="00656414" w:rsidRPr="00656414" w:rsidDel="00656414">
        <w:t xml:space="preserve"> </w:t>
      </w:r>
      <w:r w:rsidRPr="008915A2">
        <w:rPr>
          <w:b/>
        </w:rPr>
        <w:t>Eur</w:t>
      </w:r>
      <w:r>
        <w:t xml:space="preserve"> bez DPH.</w:t>
      </w:r>
      <w:r w:rsidR="0037598E">
        <w:t xml:space="preserve"> </w:t>
      </w:r>
      <w:r w:rsidR="00656414">
        <w:t xml:space="preserve">V celkovej sume sú zahrnuté náklady </w:t>
      </w:r>
      <w:r w:rsidR="0037598E">
        <w:t xml:space="preserve">vyvolané v súvislosti so zavedením </w:t>
      </w:r>
      <w:r w:rsidR="00656414">
        <w:t xml:space="preserve">a 5 rokov prevádzky </w:t>
      </w:r>
      <w:r w:rsidR="0037598E">
        <w:t xml:space="preserve">EETS </w:t>
      </w:r>
      <w:r w:rsidR="00656414">
        <w:t>vo výške</w:t>
      </w:r>
      <w:r w:rsidR="0037598E">
        <w:t xml:space="preserve"> </w:t>
      </w:r>
      <w:r w:rsidR="00656414" w:rsidRPr="00656414">
        <w:t xml:space="preserve">10 </w:t>
      </w:r>
      <w:r w:rsidR="008B5202">
        <w:t>460</w:t>
      </w:r>
      <w:r w:rsidR="008B5202" w:rsidRPr="00656414">
        <w:t xml:space="preserve"> </w:t>
      </w:r>
      <w:r w:rsidR="008B5202">
        <w:t>922</w:t>
      </w:r>
      <w:r w:rsidR="008B5202" w:rsidRPr="00656414" w:rsidDel="00656414">
        <w:t xml:space="preserve"> </w:t>
      </w:r>
      <w:r w:rsidR="0055758A">
        <w:t xml:space="preserve">Eur bez DPH, a predpokladaná suma odmien, ktorá bude podľa </w:t>
      </w:r>
      <w:r w:rsidR="00EA633C">
        <w:t xml:space="preserve">danej </w:t>
      </w:r>
      <w:r w:rsidR="0055758A">
        <w:t xml:space="preserve">metodiky náležať poskytovateľom EETS </w:t>
      </w:r>
      <w:r w:rsidR="00656414">
        <w:t xml:space="preserve">vo výške </w:t>
      </w:r>
      <w:r w:rsidR="009B75B3">
        <w:t xml:space="preserve">19 624 188 </w:t>
      </w:r>
      <w:r w:rsidR="0055758A">
        <w:t xml:space="preserve">Eur. </w:t>
      </w:r>
      <w:r w:rsidR="00656414">
        <w:t>Variant nepočíta s aplikáciou</w:t>
      </w:r>
      <w:r w:rsidR="0055758A">
        <w:t xml:space="preserve"> </w:t>
      </w:r>
      <w:r w:rsidR="00656414">
        <w:t xml:space="preserve">ustanovenia </w:t>
      </w:r>
      <w:r w:rsidR="0055758A">
        <w:t xml:space="preserve">článku 7 ods. 3 písm. b) </w:t>
      </w:r>
      <w:r w:rsidR="003837E0">
        <w:t xml:space="preserve">Smernice </w:t>
      </w:r>
      <w:r w:rsidR="00656414">
        <w:t>lebo by dochádzalo k značnej nerovnováhe medzi odmeňovaním hlavného poskytovateľa služieb SkyToll a poskytovateľmi mýtnych služieb. Vo variant</w:t>
      </w:r>
      <w:r w:rsidR="009243C2">
        <w:t>e</w:t>
      </w:r>
      <w:r w:rsidR="00656414">
        <w:t xml:space="preserve"> 1 </w:t>
      </w:r>
      <w:r w:rsidR="00C17B18">
        <w:t xml:space="preserve">tak </w:t>
      </w:r>
      <w:r w:rsidR="00656414">
        <w:t xml:space="preserve">nebude aplikované odpočítanie nákladov </w:t>
      </w:r>
      <w:r w:rsidR="00B324B6">
        <w:t>Správc</w:t>
      </w:r>
      <w:r w:rsidR="0055758A">
        <w:t>u výberu mýta od odmeny poskytovateľov EETS</w:t>
      </w:r>
      <w:r w:rsidR="00C17B18">
        <w:t>,</w:t>
      </w:r>
      <w:r w:rsidR="0055758A">
        <w:t xml:space="preserve"> </w:t>
      </w:r>
      <w:r w:rsidR="00656414">
        <w:t>predpokladá s</w:t>
      </w:r>
      <w:r w:rsidR="00C17B18">
        <w:t>a</w:t>
      </w:r>
      <w:r w:rsidR="00656414">
        <w:t xml:space="preserve"> zahrnut</w:t>
      </w:r>
      <w:r w:rsidR="00C17B18">
        <w:t>ie</w:t>
      </w:r>
      <w:r w:rsidR="00656414">
        <w:t xml:space="preserve"> nákladov </w:t>
      </w:r>
      <w:r w:rsidR="0055758A">
        <w:t>na zavedenie a prevádzku EETS do mýta.</w:t>
      </w:r>
    </w:p>
    <w:p w14:paraId="4448EF4F" w14:textId="09EA2949" w:rsidR="00A711F3" w:rsidRDefault="00A711F3">
      <w:pPr>
        <w:spacing w:before="0" w:after="0" w:line="240" w:lineRule="auto"/>
        <w:jc w:val="left"/>
      </w:pPr>
    </w:p>
    <w:p w14:paraId="15BB0B10" w14:textId="34509C3F" w:rsidR="00FD1C8A" w:rsidRDefault="00FD1C8A" w:rsidP="00FD1C8A">
      <w:pPr>
        <w:pStyle w:val="Heading2"/>
      </w:pPr>
      <w:bookmarkStart w:id="52" w:name="_Toc74323932"/>
      <w:bookmarkStart w:id="53" w:name="_Toc74324061"/>
      <w:bookmarkStart w:id="54" w:name="_Toc74324173"/>
      <w:bookmarkStart w:id="55" w:name="_Toc74324286"/>
      <w:bookmarkStart w:id="56" w:name="_Toc74324397"/>
      <w:bookmarkStart w:id="57" w:name="_Toc74324507"/>
      <w:bookmarkStart w:id="58" w:name="_Toc74324617"/>
      <w:bookmarkStart w:id="59" w:name="_Toc74324725"/>
      <w:bookmarkStart w:id="60" w:name="_Toc87348718"/>
      <w:bookmarkEnd w:id="52"/>
      <w:bookmarkEnd w:id="53"/>
      <w:bookmarkEnd w:id="54"/>
      <w:bookmarkEnd w:id="55"/>
      <w:bookmarkEnd w:id="56"/>
      <w:bookmarkEnd w:id="57"/>
      <w:bookmarkEnd w:id="58"/>
      <w:bookmarkEnd w:id="59"/>
      <w:r>
        <w:t>Variant 2</w:t>
      </w:r>
      <w:bookmarkEnd w:id="60"/>
    </w:p>
    <w:p w14:paraId="37397C13" w14:textId="09D35697" w:rsidR="003068C9" w:rsidRDefault="003068C9" w:rsidP="003068C9">
      <w:r>
        <w:t xml:space="preserve">Variant 2 znamená materiálne, technické, procesné a organizačné zabezpečenie podmienok nevyhnutných na poskytovanie EETS na strane </w:t>
      </w:r>
      <w:r w:rsidR="00B324B6">
        <w:t>Správc</w:t>
      </w:r>
      <w:r>
        <w:t xml:space="preserve">u výberu mýta. </w:t>
      </w:r>
      <w:r w:rsidR="007364F5">
        <w:t>Náklady na vybudovanie a prevádzku EETS sú odpočítané od odmeny poskytovateľov EETS.</w:t>
      </w:r>
    </w:p>
    <w:p w14:paraId="011E2310" w14:textId="7FE88A8E" w:rsidR="003068C9" w:rsidRDefault="003068C9" w:rsidP="003068C9">
      <w:r>
        <w:t>Variant 2 predpokladá transpozíciu Smernice do ZVM. Na naplnenie ustanovení článku 7 Smernice „Odmena“ sa vo variant</w:t>
      </w:r>
      <w:r w:rsidR="00DC00BC">
        <w:t>e</w:t>
      </w:r>
      <w:r>
        <w:t xml:space="preserve"> 2 </w:t>
      </w:r>
      <w:r w:rsidR="00FB517D">
        <w:t>navrhuje</w:t>
      </w:r>
      <w:r>
        <w:t xml:space="preserve"> nastav</w:t>
      </w:r>
      <w:r w:rsidR="00FB517D">
        <w:t>iť</w:t>
      </w:r>
      <w:r>
        <w:t xml:space="preserve"> biznis model, </w:t>
      </w:r>
      <w:r w:rsidR="00FB517D">
        <w:t>založený na</w:t>
      </w:r>
      <w:r>
        <w:t xml:space="preserve"> odmen</w:t>
      </w:r>
      <w:r w:rsidR="00FB517D">
        <w:t>e</w:t>
      </w:r>
      <w:r>
        <w:t xml:space="preserve"> poskytovateľov EETS priamo úmern</w:t>
      </w:r>
      <w:r w:rsidR="00FB517D">
        <w:t>ej</w:t>
      </w:r>
      <w:r>
        <w:t xml:space="preserve"> sume vybraného mýta poskytovateľmi EETS. Metodika výpočtu odmeny poskytovateľov EETS sa opiera</w:t>
      </w:r>
      <w:r w:rsidR="00FB517D">
        <w:t xml:space="preserve"> </w:t>
      </w:r>
      <w:r>
        <w:t>o jednotnú, úradne stanovenú percent</w:t>
      </w:r>
      <w:r w:rsidR="00DC00BC">
        <w:t>uál</w:t>
      </w:r>
      <w:r>
        <w:t>n</w:t>
      </w:r>
      <w:r w:rsidR="00097C5B">
        <w:t>u</w:t>
      </w:r>
      <w:r>
        <w:t xml:space="preserve"> sadzbu odmeny, a odmena poskytovateľa EETS sa vypočíta z celkového objemu vybraného mýta daným poskytovateľom EETS</w:t>
      </w:r>
      <w:r w:rsidR="0058423E" w:rsidRPr="0058423E">
        <w:t xml:space="preserve"> </w:t>
      </w:r>
      <w:r w:rsidR="0058423E">
        <w:t>s použitím príslušnej percent</w:t>
      </w:r>
      <w:r w:rsidR="00DC00BC">
        <w:t>uál</w:t>
      </w:r>
      <w:r w:rsidR="0058423E">
        <w:t>nej sadzby</w:t>
      </w:r>
      <w:r>
        <w:t xml:space="preserve">. </w:t>
      </w:r>
    </w:p>
    <w:p w14:paraId="03DA4601" w14:textId="292DBF9B" w:rsidR="003068C9" w:rsidRDefault="003068C9" w:rsidP="003068C9">
      <w:r>
        <w:t xml:space="preserve">Metodika určenia odmeny založená na úradne stanovenej jednotnej percentuálnej sadzbe odmeny je </w:t>
      </w:r>
      <w:r w:rsidRPr="00B3662E">
        <w:t>transparentná, nediskriminačná a</w:t>
      </w:r>
      <w:r>
        <w:t> </w:t>
      </w:r>
      <w:r w:rsidRPr="00B3662E">
        <w:t>rovnaká pre všetkých poskytovateľov EETS</w:t>
      </w:r>
      <w:r w:rsidR="00FB517D">
        <w:t>,</w:t>
      </w:r>
      <w:r>
        <w:t xml:space="preserve"> </w:t>
      </w:r>
      <w:r w:rsidR="007876F0">
        <w:t>a nebude </w:t>
      </w:r>
      <w:r w:rsidR="00FB517D">
        <w:t>sa líšiť</w:t>
      </w:r>
      <w:r>
        <w:t xml:space="preserve"> od odmeny </w:t>
      </w:r>
      <w:r w:rsidR="007876F0">
        <w:t xml:space="preserve">za zrovnateľné čiastkové služby zabezpečované spoločnosťou SkyToll v rámci poskytovania </w:t>
      </w:r>
      <w:r w:rsidR="00FB517D">
        <w:t>Komplexnej služby elektronického výberu mýta</w:t>
      </w:r>
      <w:r>
        <w:t>.</w:t>
      </w:r>
      <w:r w:rsidR="00FB517D">
        <w:t xml:space="preserve"> </w:t>
      </w:r>
    </w:p>
    <w:p w14:paraId="3EB51D91" w14:textId="0BAD8F30" w:rsidR="00EE0915" w:rsidRDefault="00EE0915" w:rsidP="00B16824">
      <w:r>
        <w:t>Vo variant</w:t>
      </w:r>
      <w:r w:rsidR="00DC00BC">
        <w:t>e</w:t>
      </w:r>
      <w:r>
        <w:t xml:space="preserve"> 2 sa navrhuje v súlade s ustanovením článku 7 ods. 3 Smernice </w:t>
      </w:r>
      <w:r w:rsidRPr="00E3171B">
        <w:t xml:space="preserve">odpočítať z odmeny pre poskytovateľov EETS pevné poplatky, ktoré vznikajú </w:t>
      </w:r>
      <w:r w:rsidR="007876F0">
        <w:t xml:space="preserve">na strane </w:t>
      </w:r>
      <w:r w:rsidR="00B324B6">
        <w:t>Správc</w:t>
      </w:r>
      <w:r w:rsidR="007876F0">
        <w:t xml:space="preserve">u výberu mýta </w:t>
      </w:r>
      <w:r w:rsidRPr="00E3171B">
        <w:t>v súvislosti s</w:t>
      </w:r>
      <w:r>
        <w:t> </w:t>
      </w:r>
      <w:r w:rsidRPr="00E3171B">
        <w:t xml:space="preserve">poskytovaním, prevádzkou a údržbou </w:t>
      </w:r>
      <w:r>
        <w:t xml:space="preserve">mýtneho </w:t>
      </w:r>
      <w:r w:rsidRPr="00E3171B">
        <w:t>systému spĺňajúceho požiadavky EETS</w:t>
      </w:r>
      <w:r>
        <w:t>.</w:t>
      </w:r>
      <w:r w:rsidR="00B16824">
        <w:t xml:space="preserve"> Toto opatrenie nevyžaduje úpravu sadzieb mýta stanovených Nariadením vlády Slovenskej republiky č. 497/2013 Z. z., ktorým sa ustanovuje spôsob výpočtu mýta, výška sadzby mýta a systém zliav zo sadzieb mýta za užívanie vymedzených úsekov pozemných komunikácií, v znení neskorších predpisov.</w:t>
      </w:r>
    </w:p>
    <w:p w14:paraId="56904A8F" w14:textId="1C5ADDFC" w:rsidR="0058423E" w:rsidRDefault="00FB517D" w:rsidP="003068C9">
      <w:r>
        <w:t>O</w:t>
      </w:r>
      <w:r w:rsidR="003068C9">
        <w:t>dmen</w:t>
      </w:r>
      <w:r>
        <w:t>a</w:t>
      </w:r>
      <w:r w:rsidR="003068C9">
        <w:t xml:space="preserve"> </w:t>
      </w:r>
      <w:r>
        <w:t xml:space="preserve">SkyTollu </w:t>
      </w:r>
      <w:r w:rsidR="003068C9">
        <w:t xml:space="preserve">za kvantitatívny rozsah poskytovaných služieb, ktorá je založená na fixnej jednotkovej cene za mýtnu transakciu </w:t>
      </w:r>
      <w:r>
        <w:t xml:space="preserve">sa </w:t>
      </w:r>
      <w:r w:rsidR="0058423E">
        <w:t>vo variant</w:t>
      </w:r>
      <w:r w:rsidR="00097C5B">
        <w:t>e</w:t>
      </w:r>
      <w:r w:rsidR="0058423E">
        <w:t xml:space="preserve"> 2 </w:t>
      </w:r>
      <w:r>
        <w:t>aplik</w:t>
      </w:r>
      <w:r w:rsidR="0058423E">
        <w:t>uje</w:t>
      </w:r>
      <w:r>
        <w:t xml:space="preserve"> pre </w:t>
      </w:r>
      <w:r w:rsidR="003068C9">
        <w:t xml:space="preserve">SkyToll </w:t>
      </w:r>
      <w:r>
        <w:t xml:space="preserve">bez zmeny Zmluvy ETC. S narastajúcim podielom poskytovateľov EETS na výbere mýta dochádza k zníženiu kvantitatívneho plnenia Zmluvy ETC a tím i k zníženiu </w:t>
      </w:r>
      <w:r w:rsidR="0058423E">
        <w:t xml:space="preserve">vyplatenej sumy odmeny </w:t>
      </w:r>
      <w:r w:rsidR="00EA633C">
        <w:t xml:space="preserve">SkyTollu </w:t>
      </w:r>
      <w:r w:rsidR="0058423E">
        <w:t>za kvantitatívny rozsah poskytovaných služieb.</w:t>
      </w:r>
      <w:r w:rsidR="0058423E" w:rsidRPr="0058423E">
        <w:t xml:space="preserve"> </w:t>
      </w:r>
    </w:p>
    <w:p w14:paraId="3A5C4021" w14:textId="3C5D473A" w:rsidR="007364F5" w:rsidRDefault="0058423E" w:rsidP="007364F5">
      <w:r>
        <w:t xml:space="preserve">Takto aplikovaná metodika je v súlade s Zmluvou ETC a nevyžaduje zásah do parametrov </w:t>
      </w:r>
      <w:r w:rsidR="00703EEF">
        <w:t>Zmluvy ETC</w:t>
      </w:r>
      <w:r>
        <w:t>, ktoré boli predmetom kritérií pôvodnej verejnej súťaže</w:t>
      </w:r>
      <w:r w:rsidR="00FB2CC6">
        <w:t>.</w:t>
      </w:r>
      <w:r w:rsidR="007364F5">
        <w:t xml:space="preserve"> Z pohľadu ZVO je návrh variantu </w:t>
      </w:r>
      <w:r w:rsidR="00097C5B">
        <w:t>2</w:t>
      </w:r>
      <w:r w:rsidR="007364F5">
        <w:t xml:space="preserve"> uskutočniteľný.   </w:t>
      </w:r>
    </w:p>
    <w:p w14:paraId="1DD2A16C" w14:textId="6502D334" w:rsidR="00EE0915" w:rsidRDefault="00EE0915" w:rsidP="00EE0915">
      <w:r>
        <w:t>Navrhnutý biznis model vo variant</w:t>
      </w:r>
      <w:r w:rsidR="00097C5B">
        <w:t>e</w:t>
      </w:r>
      <w:r>
        <w:t xml:space="preserve"> 2 prináša úsporu nákladov na palivové karty na strane </w:t>
      </w:r>
      <w:r w:rsidR="00B324B6">
        <w:t>Správc</w:t>
      </w:r>
      <w:r>
        <w:t>u výberu mýta, lebo alikvotnú časť nákladov budú znášať poskytovatelia EETS.</w:t>
      </w:r>
    </w:p>
    <w:p w14:paraId="148E2727" w14:textId="77777777" w:rsidR="003068C9" w:rsidRDefault="003068C9" w:rsidP="003068C9">
      <w:pPr>
        <w:pStyle w:val="Heading3"/>
      </w:pPr>
      <w:bookmarkStart w:id="61" w:name="_Ref72307112"/>
      <w:bookmarkStart w:id="62" w:name="_Toc87348719"/>
      <w:r>
        <w:lastRenderedPageBreak/>
        <w:t>Podiel  poskytovateľov EETS na výbere mýta</w:t>
      </w:r>
      <w:bookmarkEnd w:id="61"/>
      <w:bookmarkEnd w:id="62"/>
    </w:p>
    <w:p w14:paraId="2C80C1CF" w14:textId="77777777" w:rsidR="003068C9" w:rsidRDefault="003068C9" w:rsidP="003068C9">
      <w:r>
        <w:t>Na účely tejto štúdie a na porovnanie jednotlivých variantov riešenia bol zvolený postupný nábeh podielu poskytovateľov EETS na výbere mýta.</w:t>
      </w:r>
    </w:p>
    <w:p w14:paraId="6297F658" w14:textId="61262AA3" w:rsidR="003068C9" w:rsidRDefault="003068C9" w:rsidP="00FA6605">
      <w:pPr>
        <w:pStyle w:val="Caption"/>
      </w:pPr>
      <w:bookmarkStart w:id="63" w:name="_Ref71730327"/>
      <w:r>
        <w:t xml:space="preserve">Tab. </w:t>
      </w:r>
      <w:r>
        <w:fldChar w:fldCharType="begin"/>
      </w:r>
      <w:r>
        <w:instrText xml:space="preserve"> SEQ Tab. \* ARABIC </w:instrText>
      </w:r>
      <w:r>
        <w:fldChar w:fldCharType="separate"/>
      </w:r>
      <w:r w:rsidR="00A86720">
        <w:rPr>
          <w:noProof/>
        </w:rPr>
        <w:t>8</w:t>
      </w:r>
      <w:r>
        <w:fldChar w:fldCharType="end"/>
      </w:r>
      <w:bookmarkEnd w:id="63"/>
      <w:r>
        <w:t xml:space="preserve"> - Podiel poskytovateľov EETS na výbere mýta, variant </w:t>
      </w:r>
      <w:r w:rsidR="007364F5">
        <w:t>2</w:t>
      </w:r>
    </w:p>
    <w:tbl>
      <w:tblPr>
        <w:tblW w:w="92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136"/>
        <w:gridCol w:w="1336"/>
        <w:gridCol w:w="1296"/>
        <w:gridCol w:w="1316"/>
        <w:gridCol w:w="1196"/>
      </w:tblGrid>
      <w:tr w:rsidR="003068C9" w:rsidRPr="00CA62D9" w14:paraId="3774C1A5" w14:textId="77777777" w:rsidTr="0095621D">
        <w:trPr>
          <w:trHeight w:val="255"/>
        </w:trPr>
        <w:tc>
          <w:tcPr>
            <w:tcW w:w="2977" w:type="dxa"/>
            <w:shd w:val="clear" w:color="000000" w:fill="BDD7EE"/>
            <w:noWrap/>
            <w:vAlign w:val="bottom"/>
            <w:hideMark/>
          </w:tcPr>
          <w:p w14:paraId="7AD26721" w14:textId="77777777" w:rsidR="003068C9" w:rsidRPr="00CA62D9" w:rsidRDefault="003068C9" w:rsidP="0095621D">
            <w:pPr>
              <w:spacing w:before="0" w:after="0" w:line="240" w:lineRule="auto"/>
              <w:jc w:val="left"/>
              <w:rPr>
                <w:rFonts w:ascii="Calibri" w:hAnsi="Calibri"/>
                <w:color w:val="000000"/>
                <w:szCs w:val="20"/>
              </w:rPr>
            </w:pPr>
            <w:r w:rsidRPr="00CA62D9">
              <w:rPr>
                <w:rFonts w:ascii="Calibri" w:hAnsi="Calibri"/>
                <w:color w:val="000000"/>
                <w:szCs w:val="20"/>
              </w:rPr>
              <w:t>Položka</w:t>
            </w:r>
          </w:p>
        </w:tc>
        <w:tc>
          <w:tcPr>
            <w:tcW w:w="1136" w:type="dxa"/>
            <w:shd w:val="clear" w:color="000000" w:fill="BDD7EE"/>
            <w:noWrap/>
            <w:vAlign w:val="bottom"/>
            <w:hideMark/>
          </w:tcPr>
          <w:p w14:paraId="74CB6308" w14:textId="77777777" w:rsidR="003068C9" w:rsidRPr="00CA62D9" w:rsidRDefault="003068C9" w:rsidP="0095621D">
            <w:pPr>
              <w:spacing w:before="0" w:after="0" w:line="240" w:lineRule="auto"/>
              <w:jc w:val="center"/>
              <w:rPr>
                <w:rFonts w:ascii="Calibri" w:hAnsi="Calibri"/>
                <w:color w:val="000000"/>
                <w:szCs w:val="20"/>
              </w:rPr>
            </w:pPr>
            <w:r w:rsidRPr="00CA62D9">
              <w:rPr>
                <w:rFonts w:ascii="Calibri" w:hAnsi="Calibri"/>
                <w:color w:val="000000"/>
                <w:szCs w:val="20"/>
              </w:rPr>
              <w:t>2022</w:t>
            </w:r>
          </w:p>
        </w:tc>
        <w:tc>
          <w:tcPr>
            <w:tcW w:w="1336" w:type="dxa"/>
            <w:shd w:val="clear" w:color="000000" w:fill="BDD7EE"/>
            <w:noWrap/>
            <w:vAlign w:val="bottom"/>
            <w:hideMark/>
          </w:tcPr>
          <w:p w14:paraId="39A32876" w14:textId="77777777" w:rsidR="003068C9" w:rsidRPr="00CA62D9" w:rsidRDefault="003068C9" w:rsidP="0095621D">
            <w:pPr>
              <w:spacing w:before="0" w:after="0" w:line="240" w:lineRule="auto"/>
              <w:jc w:val="center"/>
              <w:rPr>
                <w:rFonts w:ascii="Calibri" w:hAnsi="Calibri"/>
                <w:color w:val="000000"/>
                <w:szCs w:val="20"/>
              </w:rPr>
            </w:pPr>
            <w:r w:rsidRPr="00CA62D9">
              <w:rPr>
                <w:rFonts w:ascii="Calibri" w:hAnsi="Calibri"/>
                <w:color w:val="000000"/>
                <w:szCs w:val="20"/>
              </w:rPr>
              <w:t>2023</w:t>
            </w:r>
          </w:p>
        </w:tc>
        <w:tc>
          <w:tcPr>
            <w:tcW w:w="1296" w:type="dxa"/>
            <w:shd w:val="clear" w:color="000000" w:fill="BDD7EE"/>
            <w:noWrap/>
            <w:vAlign w:val="bottom"/>
            <w:hideMark/>
          </w:tcPr>
          <w:p w14:paraId="435408C4" w14:textId="77777777" w:rsidR="003068C9" w:rsidRPr="00CA62D9" w:rsidRDefault="003068C9" w:rsidP="0095621D">
            <w:pPr>
              <w:spacing w:before="0" w:after="0" w:line="240" w:lineRule="auto"/>
              <w:jc w:val="center"/>
              <w:rPr>
                <w:rFonts w:ascii="Calibri" w:hAnsi="Calibri"/>
                <w:color w:val="000000"/>
                <w:szCs w:val="20"/>
              </w:rPr>
            </w:pPr>
            <w:r w:rsidRPr="00CA62D9">
              <w:rPr>
                <w:rFonts w:ascii="Calibri" w:hAnsi="Calibri"/>
                <w:color w:val="000000"/>
                <w:szCs w:val="20"/>
              </w:rPr>
              <w:t>2024</w:t>
            </w:r>
          </w:p>
        </w:tc>
        <w:tc>
          <w:tcPr>
            <w:tcW w:w="1316" w:type="dxa"/>
            <w:shd w:val="clear" w:color="000000" w:fill="BDD7EE"/>
            <w:noWrap/>
            <w:vAlign w:val="bottom"/>
            <w:hideMark/>
          </w:tcPr>
          <w:p w14:paraId="09E10F23" w14:textId="77777777" w:rsidR="003068C9" w:rsidRPr="00CA62D9" w:rsidRDefault="003068C9" w:rsidP="0095621D">
            <w:pPr>
              <w:spacing w:before="0" w:after="0" w:line="240" w:lineRule="auto"/>
              <w:jc w:val="center"/>
              <w:rPr>
                <w:rFonts w:ascii="Calibri" w:hAnsi="Calibri"/>
                <w:color w:val="000000"/>
                <w:szCs w:val="20"/>
              </w:rPr>
            </w:pPr>
            <w:r w:rsidRPr="00CA62D9">
              <w:rPr>
                <w:rFonts w:ascii="Calibri" w:hAnsi="Calibri"/>
                <w:color w:val="000000"/>
                <w:szCs w:val="20"/>
              </w:rPr>
              <w:t>2025</w:t>
            </w:r>
          </w:p>
        </w:tc>
        <w:tc>
          <w:tcPr>
            <w:tcW w:w="1196" w:type="dxa"/>
            <w:shd w:val="clear" w:color="000000" w:fill="BDD7EE"/>
            <w:noWrap/>
            <w:vAlign w:val="bottom"/>
            <w:hideMark/>
          </w:tcPr>
          <w:p w14:paraId="1A0E7394" w14:textId="77777777" w:rsidR="003068C9" w:rsidRPr="00CA62D9" w:rsidRDefault="003068C9" w:rsidP="0095621D">
            <w:pPr>
              <w:spacing w:before="0" w:after="0" w:line="240" w:lineRule="auto"/>
              <w:jc w:val="center"/>
              <w:rPr>
                <w:rFonts w:ascii="Calibri" w:hAnsi="Calibri"/>
                <w:color w:val="000000"/>
                <w:szCs w:val="20"/>
              </w:rPr>
            </w:pPr>
            <w:r w:rsidRPr="00CA62D9">
              <w:rPr>
                <w:rFonts w:ascii="Calibri" w:hAnsi="Calibri"/>
                <w:color w:val="000000"/>
                <w:szCs w:val="20"/>
              </w:rPr>
              <w:t>2026</w:t>
            </w:r>
          </w:p>
        </w:tc>
      </w:tr>
      <w:tr w:rsidR="003068C9" w:rsidRPr="00CA62D9" w14:paraId="5B3AF9D6" w14:textId="77777777" w:rsidTr="0095621D">
        <w:trPr>
          <w:trHeight w:val="255"/>
        </w:trPr>
        <w:tc>
          <w:tcPr>
            <w:tcW w:w="2977" w:type="dxa"/>
            <w:shd w:val="clear" w:color="000000" w:fill="DDEBF7"/>
            <w:noWrap/>
            <w:vAlign w:val="bottom"/>
            <w:hideMark/>
          </w:tcPr>
          <w:p w14:paraId="1535985B" w14:textId="77777777" w:rsidR="003068C9" w:rsidRPr="00CA62D9" w:rsidRDefault="003068C9" w:rsidP="0095621D">
            <w:pPr>
              <w:spacing w:before="0" w:after="0" w:line="240" w:lineRule="auto"/>
              <w:jc w:val="left"/>
              <w:rPr>
                <w:rFonts w:ascii="Calibri" w:hAnsi="Calibri"/>
                <w:color w:val="000000"/>
                <w:szCs w:val="20"/>
              </w:rPr>
            </w:pPr>
            <w:r>
              <w:rPr>
                <w:rFonts w:ascii="Calibri" w:hAnsi="Calibri"/>
                <w:color w:val="000000"/>
                <w:szCs w:val="20"/>
              </w:rPr>
              <w:t>Podiel poskytovateľov EETS</w:t>
            </w:r>
          </w:p>
        </w:tc>
        <w:tc>
          <w:tcPr>
            <w:tcW w:w="1136" w:type="dxa"/>
            <w:shd w:val="clear" w:color="auto" w:fill="auto"/>
            <w:noWrap/>
          </w:tcPr>
          <w:p w14:paraId="4422A47D" w14:textId="77777777" w:rsidR="003068C9" w:rsidRPr="0029745D" w:rsidRDefault="003068C9" w:rsidP="0095621D">
            <w:pPr>
              <w:spacing w:before="0" w:after="0" w:line="240" w:lineRule="auto"/>
              <w:jc w:val="right"/>
              <w:rPr>
                <w:rFonts w:asciiTheme="minorHAnsi" w:hAnsiTheme="minorHAnsi"/>
                <w:color w:val="000000"/>
                <w:szCs w:val="20"/>
              </w:rPr>
            </w:pPr>
            <w:r w:rsidRPr="0029745D">
              <w:rPr>
                <w:rFonts w:asciiTheme="minorHAnsi" w:hAnsiTheme="minorHAnsi"/>
              </w:rPr>
              <w:t>5</w:t>
            </w:r>
            <w:r>
              <w:rPr>
                <w:rFonts w:asciiTheme="minorHAnsi" w:hAnsiTheme="minorHAnsi"/>
              </w:rPr>
              <w:t xml:space="preserve"> </w:t>
            </w:r>
            <w:r w:rsidRPr="0029745D">
              <w:rPr>
                <w:rFonts w:asciiTheme="minorHAnsi" w:hAnsiTheme="minorHAnsi"/>
              </w:rPr>
              <w:t>%</w:t>
            </w:r>
          </w:p>
        </w:tc>
        <w:tc>
          <w:tcPr>
            <w:tcW w:w="1336" w:type="dxa"/>
            <w:shd w:val="clear" w:color="auto" w:fill="auto"/>
            <w:noWrap/>
          </w:tcPr>
          <w:p w14:paraId="000D298E" w14:textId="77777777" w:rsidR="003068C9" w:rsidRPr="0029745D" w:rsidRDefault="003068C9" w:rsidP="0095621D">
            <w:pPr>
              <w:spacing w:before="0" w:after="0" w:line="240" w:lineRule="auto"/>
              <w:jc w:val="right"/>
              <w:rPr>
                <w:rFonts w:asciiTheme="minorHAnsi" w:hAnsiTheme="minorHAnsi"/>
                <w:color w:val="000000"/>
                <w:szCs w:val="20"/>
              </w:rPr>
            </w:pPr>
            <w:r w:rsidRPr="0029745D">
              <w:rPr>
                <w:rFonts w:asciiTheme="minorHAnsi" w:hAnsiTheme="minorHAnsi"/>
              </w:rPr>
              <w:t>10</w:t>
            </w:r>
            <w:r>
              <w:rPr>
                <w:rFonts w:asciiTheme="minorHAnsi" w:hAnsiTheme="minorHAnsi"/>
              </w:rPr>
              <w:t xml:space="preserve"> </w:t>
            </w:r>
            <w:r w:rsidRPr="0029745D">
              <w:rPr>
                <w:rFonts w:asciiTheme="minorHAnsi" w:hAnsiTheme="minorHAnsi"/>
              </w:rPr>
              <w:t>%</w:t>
            </w:r>
          </w:p>
        </w:tc>
        <w:tc>
          <w:tcPr>
            <w:tcW w:w="1296" w:type="dxa"/>
            <w:shd w:val="clear" w:color="auto" w:fill="auto"/>
            <w:noWrap/>
          </w:tcPr>
          <w:p w14:paraId="13FFCD68" w14:textId="77777777" w:rsidR="003068C9" w:rsidRPr="0029745D" w:rsidRDefault="003068C9" w:rsidP="0095621D">
            <w:pPr>
              <w:spacing w:before="0" w:after="0" w:line="240" w:lineRule="auto"/>
              <w:jc w:val="right"/>
              <w:rPr>
                <w:rFonts w:asciiTheme="minorHAnsi" w:hAnsiTheme="minorHAnsi"/>
                <w:color w:val="000000"/>
                <w:szCs w:val="20"/>
              </w:rPr>
            </w:pPr>
            <w:r w:rsidRPr="0029745D">
              <w:rPr>
                <w:rFonts w:asciiTheme="minorHAnsi" w:hAnsiTheme="minorHAnsi"/>
              </w:rPr>
              <w:t>20</w:t>
            </w:r>
            <w:r>
              <w:rPr>
                <w:rFonts w:asciiTheme="minorHAnsi" w:hAnsiTheme="minorHAnsi"/>
              </w:rPr>
              <w:t xml:space="preserve"> </w:t>
            </w:r>
            <w:r w:rsidRPr="0029745D">
              <w:rPr>
                <w:rFonts w:asciiTheme="minorHAnsi" w:hAnsiTheme="minorHAnsi"/>
              </w:rPr>
              <w:t>%</w:t>
            </w:r>
          </w:p>
        </w:tc>
        <w:tc>
          <w:tcPr>
            <w:tcW w:w="1316" w:type="dxa"/>
            <w:shd w:val="clear" w:color="auto" w:fill="auto"/>
            <w:noWrap/>
          </w:tcPr>
          <w:p w14:paraId="5777D7B0" w14:textId="77777777" w:rsidR="003068C9" w:rsidRPr="0029745D" w:rsidRDefault="003068C9" w:rsidP="0095621D">
            <w:pPr>
              <w:spacing w:before="0" w:after="0" w:line="240" w:lineRule="auto"/>
              <w:jc w:val="right"/>
              <w:rPr>
                <w:rFonts w:asciiTheme="minorHAnsi" w:hAnsiTheme="minorHAnsi"/>
                <w:color w:val="000000"/>
                <w:szCs w:val="20"/>
              </w:rPr>
            </w:pPr>
            <w:r w:rsidRPr="0029745D">
              <w:rPr>
                <w:rFonts w:asciiTheme="minorHAnsi" w:hAnsiTheme="minorHAnsi"/>
              </w:rPr>
              <w:t>30</w:t>
            </w:r>
            <w:r>
              <w:rPr>
                <w:rFonts w:asciiTheme="minorHAnsi" w:hAnsiTheme="minorHAnsi"/>
              </w:rPr>
              <w:t xml:space="preserve"> </w:t>
            </w:r>
            <w:r w:rsidRPr="0029745D">
              <w:rPr>
                <w:rFonts w:asciiTheme="minorHAnsi" w:hAnsiTheme="minorHAnsi"/>
              </w:rPr>
              <w:t>%</w:t>
            </w:r>
          </w:p>
        </w:tc>
        <w:tc>
          <w:tcPr>
            <w:tcW w:w="1196" w:type="dxa"/>
            <w:shd w:val="clear" w:color="auto" w:fill="auto"/>
            <w:noWrap/>
          </w:tcPr>
          <w:p w14:paraId="2B9A5852" w14:textId="77777777" w:rsidR="003068C9" w:rsidRPr="0029745D" w:rsidRDefault="003068C9" w:rsidP="0095621D">
            <w:pPr>
              <w:spacing w:before="0" w:after="0" w:line="240" w:lineRule="auto"/>
              <w:jc w:val="right"/>
              <w:rPr>
                <w:rFonts w:asciiTheme="minorHAnsi" w:hAnsiTheme="minorHAnsi"/>
                <w:color w:val="000000"/>
                <w:szCs w:val="20"/>
              </w:rPr>
            </w:pPr>
            <w:r>
              <w:rPr>
                <w:rFonts w:asciiTheme="minorHAnsi" w:hAnsiTheme="minorHAnsi"/>
              </w:rPr>
              <w:t xml:space="preserve">35 </w:t>
            </w:r>
            <w:r w:rsidRPr="0029745D">
              <w:rPr>
                <w:rFonts w:asciiTheme="minorHAnsi" w:hAnsiTheme="minorHAnsi"/>
              </w:rPr>
              <w:t>%</w:t>
            </w:r>
          </w:p>
        </w:tc>
      </w:tr>
      <w:tr w:rsidR="003068C9" w:rsidRPr="00CA62D9" w14:paraId="73515E78" w14:textId="77777777" w:rsidTr="0095621D">
        <w:trPr>
          <w:trHeight w:val="255"/>
        </w:trPr>
        <w:tc>
          <w:tcPr>
            <w:tcW w:w="2977" w:type="dxa"/>
            <w:shd w:val="clear" w:color="000000" w:fill="DDEBF7"/>
            <w:noWrap/>
            <w:vAlign w:val="bottom"/>
            <w:hideMark/>
          </w:tcPr>
          <w:p w14:paraId="008F5B7E" w14:textId="267AA735" w:rsidR="003068C9" w:rsidRPr="00CA62D9" w:rsidRDefault="003068C9" w:rsidP="0095621D">
            <w:pPr>
              <w:spacing w:before="0" w:after="0" w:line="240" w:lineRule="auto"/>
              <w:jc w:val="left"/>
              <w:rPr>
                <w:rFonts w:ascii="Calibri" w:hAnsi="Calibri"/>
                <w:color w:val="000000"/>
                <w:szCs w:val="20"/>
              </w:rPr>
            </w:pPr>
            <w:r>
              <w:rPr>
                <w:rFonts w:ascii="Calibri" w:hAnsi="Calibri"/>
                <w:color w:val="000000"/>
                <w:szCs w:val="20"/>
              </w:rPr>
              <w:t>Podiel SkyTollu na výbere mýta</w:t>
            </w:r>
          </w:p>
        </w:tc>
        <w:tc>
          <w:tcPr>
            <w:tcW w:w="1136" w:type="dxa"/>
            <w:shd w:val="clear" w:color="auto" w:fill="auto"/>
            <w:noWrap/>
            <w:vAlign w:val="bottom"/>
          </w:tcPr>
          <w:p w14:paraId="16B58E99" w14:textId="77777777" w:rsidR="003068C9" w:rsidRPr="00CA62D9" w:rsidRDefault="003068C9" w:rsidP="0095621D">
            <w:pPr>
              <w:spacing w:before="0" w:after="0" w:line="240" w:lineRule="auto"/>
              <w:jc w:val="right"/>
              <w:rPr>
                <w:rFonts w:ascii="Calibri" w:hAnsi="Calibri"/>
                <w:color w:val="000000"/>
                <w:szCs w:val="20"/>
              </w:rPr>
            </w:pPr>
            <w:r>
              <w:rPr>
                <w:rFonts w:ascii="Calibri" w:hAnsi="Calibri"/>
                <w:color w:val="000000"/>
                <w:szCs w:val="20"/>
              </w:rPr>
              <w:t>95 %</w:t>
            </w:r>
          </w:p>
        </w:tc>
        <w:tc>
          <w:tcPr>
            <w:tcW w:w="1336" w:type="dxa"/>
            <w:shd w:val="clear" w:color="auto" w:fill="auto"/>
            <w:noWrap/>
            <w:vAlign w:val="bottom"/>
          </w:tcPr>
          <w:p w14:paraId="4E2C424C" w14:textId="77777777" w:rsidR="003068C9" w:rsidRPr="00CA62D9" w:rsidRDefault="003068C9" w:rsidP="0095621D">
            <w:pPr>
              <w:spacing w:before="0" w:after="0" w:line="240" w:lineRule="auto"/>
              <w:jc w:val="right"/>
              <w:rPr>
                <w:rFonts w:ascii="Calibri" w:hAnsi="Calibri"/>
                <w:color w:val="000000"/>
                <w:szCs w:val="20"/>
              </w:rPr>
            </w:pPr>
            <w:r>
              <w:rPr>
                <w:rFonts w:ascii="Calibri" w:hAnsi="Calibri"/>
                <w:color w:val="000000"/>
                <w:szCs w:val="20"/>
              </w:rPr>
              <w:t>90 %</w:t>
            </w:r>
          </w:p>
        </w:tc>
        <w:tc>
          <w:tcPr>
            <w:tcW w:w="1296" w:type="dxa"/>
            <w:shd w:val="clear" w:color="auto" w:fill="auto"/>
            <w:noWrap/>
            <w:vAlign w:val="bottom"/>
          </w:tcPr>
          <w:p w14:paraId="12F8443A" w14:textId="77777777" w:rsidR="003068C9" w:rsidRPr="00CA62D9" w:rsidRDefault="003068C9" w:rsidP="0095621D">
            <w:pPr>
              <w:spacing w:before="0" w:after="0" w:line="240" w:lineRule="auto"/>
              <w:jc w:val="right"/>
              <w:rPr>
                <w:rFonts w:ascii="Calibri" w:hAnsi="Calibri"/>
                <w:color w:val="000000"/>
                <w:szCs w:val="20"/>
              </w:rPr>
            </w:pPr>
            <w:r>
              <w:rPr>
                <w:rFonts w:ascii="Calibri" w:hAnsi="Calibri"/>
                <w:color w:val="000000"/>
                <w:szCs w:val="20"/>
              </w:rPr>
              <w:t>80 %</w:t>
            </w:r>
          </w:p>
        </w:tc>
        <w:tc>
          <w:tcPr>
            <w:tcW w:w="1316" w:type="dxa"/>
            <w:shd w:val="clear" w:color="auto" w:fill="auto"/>
            <w:noWrap/>
            <w:vAlign w:val="bottom"/>
          </w:tcPr>
          <w:p w14:paraId="595E225C" w14:textId="77777777" w:rsidR="003068C9" w:rsidRPr="00CA62D9" w:rsidRDefault="003068C9" w:rsidP="0095621D">
            <w:pPr>
              <w:spacing w:before="0" w:after="0" w:line="240" w:lineRule="auto"/>
              <w:jc w:val="right"/>
              <w:rPr>
                <w:rFonts w:ascii="Calibri" w:hAnsi="Calibri"/>
                <w:color w:val="000000"/>
                <w:szCs w:val="20"/>
              </w:rPr>
            </w:pPr>
            <w:r>
              <w:rPr>
                <w:rFonts w:ascii="Calibri" w:hAnsi="Calibri"/>
                <w:color w:val="000000"/>
                <w:szCs w:val="20"/>
              </w:rPr>
              <w:t>70 %</w:t>
            </w:r>
          </w:p>
        </w:tc>
        <w:tc>
          <w:tcPr>
            <w:tcW w:w="1196" w:type="dxa"/>
            <w:shd w:val="clear" w:color="auto" w:fill="auto"/>
            <w:noWrap/>
            <w:vAlign w:val="bottom"/>
          </w:tcPr>
          <w:p w14:paraId="0B591398" w14:textId="2F6641F1" w:rsidR="003068C9" w:rsidRPr="00CA62D9" w:rsidRDefault="003068C9" w:rsidP="0095621D">
            <w:pPr>
              <w:spacing w:before="0" w:after="0" w:line="240" w:lineRule="auto"/>
              <w:jc w:val="right"/>
              <w:rPr>
                <w:rFonts w:ascii="Calibri" w:hAnsi="Calibri"/>
                <w:color w:val="000000"/>
                <w:szCs w:val="20"/>
              </w:rPr>
            </w:pPr>
            <w:r>
              <w:rPr>
                <w:rFonts w:ascii="Calibri" w:hAnsi="Calibri"/>
                <w:color w:val="000000"/>
                <w:szCs w:val="20"/>
              </w:rPr>
              <w:t>65 %</w:t>
            </w:r>
          </w:p>
        </w:tc>
      </w:tr>
    </w:tbl>
    <w:p w14:paraId="13A220E6" w14:textId="77777777" w:rsidR="003068C9" w:rsidRDefault="003068C9" w:rsidP="003068C9">
      <w:pPr>
        <w:pStyle w:val="Heading3"/>
      </w:pPr>
      <w:bookmarkStart w:id="64" w:name="_Ref72244912"/>
      <w:bookmarkStart w:id="65" w:name="_Toc87348720"/>
      <w:r>
        <w:t>Náklady</w:t>
      </w:r>
      <w:bookmarkEnd w:id="64"/>
      <w:bookmarkEnd w:id="65"/>
    </w:p>
    <w:p w14:paraId="4DD4E268" w14:textId="70066417" w:rsidR="003068C9" w:rsidRDefault="003068C9" w:rsidP="003068C9">
      <w:r>
        <w:t xml:space="preserve">Náklady variantu </w:t>
      </w:r>
      <w:r w:rsidR="00C01978">
        <w:t>2</w:t>
      </w:r>
      <w:r>
        <w:t xml:space="preserve"> zahŕňajú odmeny </w:t>
      </w:r>
      <w:r w:rsidR="00716930">
        <w:t xml:space="preserve">poskytovateľov EETS, odmeny </w:t>
      </w:r>
      <w:r>
        <w:t>spoločnosti SkyToll</w:t>
      </w:r>
      <w:r w:rsidR="00C01978">
        <w:t xml:space="preserve"> vrátane odmeny za realizáciu a prevádzku EETS podľa čl. </w:t>
      </w:r>
      <w:r w:rsidR="00EA633C">
        <w:fldChar w:fldCharType="begin"/>
      </w:r>
      <w:r w:rsidR="00EA633C">
        <w:instrText xml:space="preserve"> REF _Ref71643248 \r \h </w:instrText>
      </w:r>
      <w:r w:rsidR="00EA633C">
        <w:fldChar w:fldCharType="separate"/>
      </w:r>
      <w:r w:rsidR="00A86720">
        <w:t>4.2.2.1</w:t>
      </w:r>
      <w:r w:rsidR="00EA633C">
        <w:fldChar w:fldCharType="end"/>
      </w:r>
      <w:r>
        <w:t xml:space="preserve">, </w:t>
      </w:r>
      <w:r w:rsidR="007876F0">
        <w:t>odmeny za služby clearingového centra a platobnej infraštruktúry pre úhrady prostredníctvom palivových a bankových kariet, a náklady za iné služby (technická pomoc, projektové riadenie)</w:t>
      </w:r>
      <w:r w:rsidR="007867C9">
        <w:t>.</w:t>
      </w:r>
      <w:r w:rsidR="007876F0">
        <w:t xml:space="preserve"> K tomu sa pripočítajú náklady za služby poskytovateľov EETS stanovené na základe metodiky navrhovanej pre tento variant 2.</w:t>
      </w:r>
    </w:p>
    <w:p w14:paraId="403AACC8" w14:textId="77777777" w:rsidR="00366F12" w:rsidRDefault="00366F12" w:rsidP="003068C9"/>
    <w:p w14:paraId="5966507C" w14:textId="77777777" w:rsidR="00716930" w:rsidRDefault="00716930" w:rsidP="00716930">
      <w:pPr>
        <w:pStyle w:val="Heading4"/>
      </w:pPr>
      <w:bookmarkStart w:id="66" w:name="_Ref74316802"/>
      <w:r>
        <w:t>Odmena poskytovateľov EETS</w:t>
      </w:r>
      <w:bookmarkEnd w:id="66"/>
    </w:p>
    <w:p w14:paraId="452A83E8" w14:textId="386D56BF" w:rsidR="00716930" w:rsidRDefault="00716930" w:rsidP="00716930">
      <w:r>
        <w:t>Vo variant</w:t>
      </w:r>
      <w:r w:rsidR="00097C5B">
        <w:t>e</w:t>
      </w:r>
      <w:r>
        <w:t xml:space="preserve"> 2 sa navrhuje stanoviť odmen</w:t>
      </w:r>
      <w:r w:rsidR="00E46FDD">
        <w:t>u</w:t>
      </w:r>
      <w:r>
        <w:t xml:space="preserve"> poskytovateľov EETS pevným percentom z vybraného mýta konkrétnym poskytovateľom EETS. Percentuálna sadzba je stanovená ako pevná</w:t>
      </w:r>
      <w:r w:rsidR="00097C5B">
        <w:t xml:space="preserve"> a</w:t>
      </w:r>
      <w:r>
        <w:t xml:space="preserve"> jednotná pre všetkých poskytovateľov EETS. V súlad</w:t>
      </w:r>
      <w:r w:rsidR="00097C5B">
        <w:t>e</w:t>
      </w:r>
      <w:r>
        <w:t xml:space="preserve"> s ustanovením čl. 7 ods. 3 písm. b) Smernice si Správca výberu mýta uplatní z odmeny poskytovateľa EETS odpočet na pokrytie nákladov na zavedenie a prevádzku EETS v rámci Komplexnej služby elektronického mýta poskytovanej spoločnosťou SkyToll.</w:t>
      </w:r>
    </w:p>
    <w:p w14:paraId="25108032" w14:textId="4E06FEA8" w:rsidR="007876F0" w:rsidRDefault="007876F0" w:rsidP="00716930">
      <w:r>
        <w:t>Percentuálna sadzba odmeny poskytovateľov EETS bude priamo odvodená z ceny služieb SkyToll a bude priamo úmerná relevantným čiastkovým službám podľa Zmluvy ETC.</w:t>
      </w:r>
    </w:p>
    <w:p w14:paraId="7D644706" w14:textId="2CFAD0EF" w:rsidR="007876F0" w:rsidRDefault="007876F0" w:rsidP="00716930">
      <w:r>
        <w:t>Štruktúra ceny Komplexnej služby elektronického výberu mýta podľa Zmluvy ETC je uvedená v tabuľke</w:t>
      </w:r>
      <w:r w:rsidR="00E46FDD">
        <w:t xml:space="preserve"> nižšie</w:t>
      </w:r>
      <w:r>
        <w:t>.</w:t>
      </w:r>
    </w:p>
    <w:p w14:paraId="58A6BB3B" w14:textId="7AFE9ED8" w:rsidR="00D5351D" w:rsidRDefault="00D5351D" w:rsidP="005A7D49">
      <w:pPr>
        <w:pStyle w:val="Caption"/>
      </w:pPr>
      <w:r>
        <w:t xml:space="preserve">Tab. </w:t>
      </w:r>
      <w:r>
        <w:fldChar w:fldCharType="begin"/>
      </w:r>
      <w:r>
        <w:instrText xml:space="preserve"> SEQ Tab. \* ARABIC </w:instrText>
      </w:r>
      <w:r>
        <w:fldChar w:fldCharType="separate"/>
      </w:r>
      <w:r w:rsidR="00A86720">
        <w:rPr>
          <w:noProof/>
        </w:rPr>
        <w:t>9</w:t>
      </w:r>
      <w:r>
        <w:fldChar w:fldCharType="end"/>
      </w:r>
      <w:r>
        <w:t xml:space="preserve"> - Štrukturálne rozdelenie ceny SkyToll podľa Zmluvy ETC a ekvivalentný podiel čiastkových služieb relevantných pre EETS na celkovej cene</w:t>
      </w:r>
    </w:p>
    <w:tbl>
      <w:tblP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4815"/>
        <w:gridCol w:w="2197"/>
        <w:gridCol w:w="2197"/>
      </w:tblGrid>
      <w:tr w:rsidR="00D5351D" w:rsidRPr="00313F9C" w14:paraId="6F617BE5" w14:textId="77777777" w:rsidTr="00A40297">
        <w:trPr>
          <w:trHeight w:val="350"/>
        </w:trPr>
        <w:tc>
          <w:tcPr>
            <w:tcW w:w="4815" w:type="dxa"/>
            <w:shd w:val="clear" w:color="000000" w:fill="B8CCE4"/>
            <w:noWrap/>
            <w:vAlign w:val="center"/>
            <w:hideMark/>
          </w:tcPr>
          <w:p w14:paraId="484296D7" w14:textId="14C71BA2"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Čiastková služba podľa Zmluvy ETC</w:t>
            </w:r>
          </w:p>
        </w:tc>
        <w:tc>
          <w:tcPr>
            <w:tcW w:w="2197" w:type="dxa"/>
            <w:shd w:val="clear" w:color="000000" w:fill="B8CCE4"/>
            <w:vAlign w:val="bottom"/>
            <w:hideMark/>
          </w:tcPr>
          <w:p w14:paraId="3DA18BD3" w14:textId="77777777" w:rsidR="00D5351D" w:rsidRPr="005A7D49" w:rsidRDefault="00D5351D" w:rsidP="005A7D49">
            <w:pPr>
              <w:pStyle w:val="BodyText"/>
              <w:spacing w:before="0" w:after="0" w:line="240" w:lineRule="auto"/>
              <w:jc w:val="center"/>
              <w:rPr>
                <w:rFonts w:asciiTheme="minorHAnsi" w:hAnsiTheme="minorHAnsi" w:cstheme="minorHAnsi"/>
                <w:color w:val="000000"/>
                <w:szCs w:val="20"/>
              </w:rPr>
            </w:pPr>
            <w:r w:rsidRPr="005A7D49">
              <w:rPr>
                <w:rFonts w:asciiTheme="minorHAnsi" w:hAnsiTheme="minorHAnsi" w:cstheme="minorHAnsi"/>
                <w:color w:val="000000"/>
                <w:szCs w:val="20"/>
              </w:rPr>
              <w:t>Podiel na celkovej cene SkyToll</w:t>
            </w:r>
          </w:p>
        </w:tc>
        <w:tc>
          <w:tcPr>
            <w:tcW w:w="2197" w:type="dxa"/>
            <w:shd w:val="clear" w:color="000000" w:fill="B8CCE4"/>
            <w:vAlign w:val="bottom"/>
            <w:hideMark/>
          </w:tcPr>
          <w:p w14:paraId="797DEFB2" w14:textId="2CAC02B5" w:rsidR="00D5351D" w:rsidRPr="005A7D49" w:rsidRDefault="00D5351D" w:rsidP="005A7D49">
            <w:pPr>
              <w:pStyle w:val="BodyText"/>
              <w:spacing w:before="0" w:after="0" w:line="240" w:lineRule="auto"/>
              <w:jc w:val="center"/>
              <w:rPr>
                <w:rFonts w:asciiTheme="minorHAnsi" w:hAnsiTheme="minorHAnsi" w:cstheme="minorHAnsi"/>
                <w:color w:val="000000"/>
                <w:szCs w:val="20"/>
              </w:rPr>
            </w:pPr>
            <w:r w:rsidRPr="005A7D49">
              <w:rPr>
                <w:rFonts w:asciiTheme="minorHAnsi" w:hAnsiTheme="minorHAnsi" w:cstheme="minorHAnsi"/>
                <w:color w:val="000000"/>
                <w:szCs w:val="20"/>
              </w:rPr>
              <w:t xml:space="preserve">Zložka ceny relevantná pre </w:t>
            </w:r>
            <w:r w:rsidR="00EA633C">
              <w:rPr>
                <w:rFonts w:asciiTheme="minorHAnsi" w:hAnsiTheme="minorHAnsi" w:cstheme="minorHAnsi"/>
                <w:color w:val="000000"/>
                <w:szCs w:val="20"/>
              </w:rPr>
              <w:t xml:space="preserve">výpočet odmeny za služby </w:t>
            </w:r>
            <w:r w:rsidRPr="005A7D49">
              <w:rPr>
                <w:rFonts w:asciiTheme="minorHAnsi" w:hAnsiTheme="minorHAnsi" w:cstheme="minorHAnsi"/>
                <w:color w:val="000000"/>
                <w:szCs w:val="20"/>
              </w:rPr>
              <w:t>EETS</w:t>
            </w:r>
          </w:p>
        </w:tc>
      </w:tr>
      <w:tr w:rsidR="00D5351D" w:rsidRPr="00313F9C" w14:paraId="19B278AF" w14:textId="77777777" w:rsidTr="00A40297">
        <w:trPr>
          <w:trHeight w:val="255"/>
        </w:trPr>
        <w:tc>
          <w:tcPr>
            <w:tcW w:w="4815" w:type="dxa"/>
            <w:shd w:val="clear" w:color="000000" w:fill="DCE6F1"/>
            <w:noWrap/>
            <w:vAlign w:val="bottom"/>
            <w:hideMark/>
          </w:tcPr>
          <w:p w14:paraId="09DAE054"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Predpis mýta</w:t>
            </w:r>
          </w:p>
        </w:tc>
        <w:tc>
          <w:tcPr>
            <w:tcW w:w="2197" w:type="dxa"/>
            <w:shd w:val="clear" w:color="auto" w:fill="auto"/>
            <w:noWrap/>
            <w:vAlign w:val="center"/>
            <w:hideMark/>
          </w:tcPr>
          <w:p w14:paraId="2CDCABCB" w14:textId="2ACA8797"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11,5</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28B743D8" w14:textId="5620B478" w:rsidR="00D5351D" w:rsidRPr="005A7D49" w:rsidRDefault="00D5351D" w:rsidP="005A7D49">
            <w:pPr>
              <w:pStyle w:val="BodyText"/>
              <w:spacing w:before="0" w:after="0" w:line="240" w:lineRule="auto"/>
              <w:jc w:val="center"/>
              <w:rPr>
                <w:rFonts w:asciiTheme="minorHAnsi" w:hAnsiTheme="minorHAnsi" w:cstheme="minorHAnsi"/>
                <w:szCs w:val="20"/>
              </w:rPr>
            </w:pPr>
          </w:p>
        </w:tc>
      </w:tr>
      <w:tr w:rsidR="00D5351D" w:rsidRPr="00313F9C" w14:paraId="1A68E5A1" w14:textId="77777777" w:rsidTr="00A40297">
        <w:trPr>
          <w:trHeight w:val="255"/>
        </w:trPr>
        <w:tc>
          <w:tcPr>
            <w:tcW w:w="4815" w:type="dxa"/>
            <w:shd w:val="clear" w:color="000000" w:fill="DCE6F1"/>
            <w:noWrap/>
            <w:vAlign w:val="bottom"/>
            <w:hideMark/>
          </w:tcPr>
          <w:p w14:paraId="6ECC826D"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Výber mýta</w:t>
            </w:r>
          </w:p>
        </w:tc>
        <w:tc>
          <w:tcPr>
            <w:tcW w:w="2197" w:type="dxa"/>
            <w:shd w:val="clear" w:color="auto" w:fill="auto"/>
            <w:noWrap/>
            <w:vAlign w:val="center"/>
            <w:hideMark/>
          </w:tcPr>
          <w:p w14:paraId="36B479EC" w14:textId="57AF08B4"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3,6</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44B622FC" w14:textId="77777777"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áno</w:t>
            </w:r>
          </w:p>
        </w:tc>
      </w:tr>
      <w:tr w:rsidR="00D5351D" w:rsidRPr="00313F9C" w14:paraId="2E87B925" w14:textId="77777777" w:rsidTr="00A40297">
        <w:trPr>
          <w:trHeight w:val="255"/>
        </w:trPr>
        <w:tc>
          <w:tcPr>
            <w:tcW w:w="4815" w:type="dxa"/>
            <w:shd w:val="clear" w:color="000000" w:fill="DCE6F1"/>
            <w:noWrap/>
            <w:vAlign w:val="bottom"/>
            <w:hideMark/>
          </w:tcPr>
          <w:p w14:paraId="453E2149"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Distribúcia, správa a údržba palubných jednotiek</w:t>
            </w:r>
          </w:p>
        </w:tc>
        <w:tc>
          <w:tcPr>
            <w:tcW w:w="2197" w:type="dxa"/>
            <w:shd w:val="clear" w:color="auto" w:fill="auto"/>
            <w:noWrap/>
            <w:vAlign w:val="center"/>
            <w:hideMark/>
          </w:tcPr>
          <w:p w14:paraId="7B8FD884" w14:textId="16FF1D4A"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20,6</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5872287A" w14:textId="77777777"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áno</w:t>
            </w:r>
          </w:p>
        </w:tc>
      </w:tr>
      <w:tr w:rsidR="00D5351D" w:rsidRPr="00313F9C" w14:paraId="11D4FAF9" w14:textId="77777777" w:rsidTr="00A40297">
        <w:trPr>
          <w:trHeight w:val="255"/>
        </w:trPr>
        <w:tc>
          <w:tcPr>
            <w:tcW w:w="4815" w:type="dxa"/>
            <w:shd w:val="clear" w:color="000000" w:fill="DCE6F1"/>
            <w:noWrap/>
            <w:vAlign w:val="bottom"/>
            <w:hideMark/>
          </w:tcPr>
          <w:p w14:paraId="27D69EB4"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Vynucovanie (enforcement)</w:t>
            </w:r>
          </w:p>
        </w:tc>
        <w:tc>
          <w:tcPr>
            <w:tcW w:w="2197" w:type="dxa"/>
            <w:shd w:val="clear" w:color="auto" w:fill="auto"/>
            <w:noWrap/>
            <w:vAlign w:val="center"/>
            <w:hideMark/>
          </w:tcPr>
          <w:p w14:paraId="6F932632" w14:textId="13E72A52"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13,1</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7B2D3EF3" w14:textId="3FB84D24" w:rsidR="00D5351D" w:rsidRPr="005A7D49" w:rsidRDefault="00D5351D" w:rsidP="005A7D49">
            <w:pPr>
              <w:pStyle w:val="BodyText"/>
              <w:spacing w:before="0" w:after="0" w:line="240" w:lineRule="auto"/>
              <w:jc w:val="center"/>
              <w:rPr>
                <w:rFonts w:asciiTheme="minorHAnsi" w:hAnsiTheme="minorHAnsi" w:cstheme="minorHAnsi"/>
                <w:szCs w:val="20"/>
              </w:rPr>
            </w:pPr>
          </w:p>
        </w:tc>
      </w:tr>
      <w:tr w:rsidR="00D5351D" w:rsidRPr="00313F9C" w14:paraId="541037FA" w14:textId="77777777" w:rsidTr="00A40297">
        <w:trPr>
          <w:trHeight w:val="255"/>
        </w:trPr>
        <w:tc>
          <w:tcPr>
            <w:tcW w:w="4815" w:type="dxa"/>
            <w:shd w:val="clear" w:color="000000" w:fill="DCE6F1"/>
            <w:noWrap/>
            <w:vAlign w:val="bottom"/>
            <w:hideMark/>
          </w:tcPr>
          <w:p w14:paraId="32ACDE53"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Zákaznícke služby</w:t>
            </w:r>
          </w:p>
        </w:tc>
        <w:tc>
          <w:tcPr>
            <w:tcW w:w="2197" w:type="dxa"/>
            <w:shd w:val="clear" w:color="auto" w:fill="auto"/>
            <w:noWrap/>
            <w:vAlign w:val="center"/>
            <w:hideMark/>
          </w:tcPr>
          <w:p w14:paraId="2CD9F503" w14:textId="03AC45BC"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19,5</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40994C48" w14:textId="77777777"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áno</w:t>
            </w:r>
          </w:p>
        </w:tc>
      </w:tr>
      <w:tr w:rsidR="00D5351D" w:rsidRPr="00313F9C" w14:paraId="6D7E2279" w14:textId="77777777" w:rsidTr="00A40297">
        <w:trPr>
          <w:trHeight w:val="255"/>
        </w:trPr>
        <w:tc>
          <w:tcPr>
            <w:tcW w:w="4815" w:type="dxa"/>
            <w:shd w:val="clear" w:color="000000" w:fill="DCE6F1"/>
            <w:noWrap/>
            <w:vAlign w:val="bottom"/>
            <w:hideMark/>
          </w:tcPr>
          <w:p w14:paraId="0D405926"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Centrálny dohľad a riadenie akosti a plnenia služby</w:t>
            </w:r>
          </w:p>
        </w:tc>
        <w:tc>
          <w:tcPr>
            <w:tcW w:w="2197" w:type="dxa"/>
            <w:shd w:val="clear" w:color="auto" w:fill="auto"/>
            <w:noWrap/>
            <w:vAlign w:val="center"/>
            <w:hideMark/>
          </w:tcPr>
          <w:p w14:paraId="78A8CCC9" w14:textId="494BE2EE"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1,5</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7EC52DE2" w14:textId="1C7426FC" w:rsidR="00D5351D" w:rsidRPr="005A7D49" w:rsidRDefault="00D5351D" w:rsidP="005A7D49">
            <w:pPr>
              <w:pStyle w:val="BodyText"/>
              <w:spacing w:before="0" w:after="0" w:line="240" w:lineRule="auto"/>
              <w:jc w:val="center"/>
              <w:rPr>
                <w:rFonts w:asciiTheme="minorHAnsi" w:hAnsiTheme="minorHAnsi" w:cstheme="minorHAnsi"/>
                <w:szCs w:val="20"/>
              </w:rPr>
            </w:pPr>
          </w:p>
        </w:tc>
      </w:tr>
      <w:tr w:rsidR="00D5351D" w:rsidRPr="00313F9C" w14:paraId="6C48B0E3" w14:textId="77777777" w:rsidTr="00A40297">
        <w:trPr>
          <w:trHeight w:val="255"/>
        </w:trPr>
        <w:tc>
          <w:tcPr>
            <w:tcW w:w="4815" w:type="dxa"/>
            <w:shd w:val="clear" w:color="000000" w:fill="DCE6F1"/>
            <w:noWrap/>
            <w:vAlign w:val="bottom"/>
            <w:hideMark/>
          </w:tcPr>
          <w:p w14:paraId="1AFD610A"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Poskytovanie informácií (PR)</w:t>
            </w:r>
          </w:p>
        </w:tc>
        <w:tc>
          <w:tcPr>
            <w:tcW w:w="2197" w:type="dxa"/>
            <w:shd w:val="clear" w:color="auto" w:fill="auto"/>
            <w:noWrap/>
            <w:vAlign w:val="center"/>
            <w:hideMark/>
          </w:tcPr>
          <w:p w14:paraId="05807176" w14:textId="3F514065"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0,8</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2B8D7184" w14:textId="2F086146" w:rsidR="00D5351D" w:rsidRPr="005A7D49" w:rsidRDefault="00D5351D" w:rsidP="005A7D49">
            <w:pPr>
              <w:pStyle w:val="BodyText"/>
              <w:spacing w:before="0" w:after="0" w:line="240" w:lineRule="auto"/>
              <w:jc w:val="center"/>
              <w:rPr>
                <w:rFonts w:asciiTheme="minorHAnsi" w:hAnsiTheme="minorHAnsi" w:cstheme="minorHAnsi"/>
                <w:szCs w:val="20"/>
              </w:rPr>
            </w:pPr>
          </w:p>
        </w:tc>
      </w:tr>
      <w:tr w:rsidR="00D5351D" w:rsidRPr="00313F9C" w14:paraId="230311B2" w14:textId="77777777" w:rsidTr="00A40297">
        <w:trPr>
          <w:trHeight w:val="255"/>
        </w:trPr>
        <w:tc>
          <w:tcPr>
            <w:tcW w:w="4815" w:type="dxa"/>
            <w:shd w:val="clear" w:color="000000" w:fill="DCE6F1"/>
            <w:noWrap/>
            <w:vAlign w:val="bottom"/>
            <w:hideMark/>
          </w:tcPr>
          <w:p w14:paraId="3BB6EFCC"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Údržba a opravy technológií</w:t>
            </w:r>
          </w:p>
        </w:tc>
        <w:tc>
          <w:tcPr>
            <w:tcW w:w="2197" w:type="dxa"/>
            <w:shd w:val="clear" w:color="auto" w:fill="auto"/>
            <w:noWrap/>
            <w:vAlign w:val="center"/>
            <w:hideMark/>
          </w:tcPr>
          <w:p w14:paraId="741A3E59" w14:textId="74188D45"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21,0</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2DD6C2FC" w14:textId="6F887818" w:rsidR="00D5351D" w:rsidRPr="005A7D49" w:rsidRDefault="00D5351D" w:rsidP="005A7D49">
            <w:pPr>
              <w:pStyle w:val="BodyText"/>
              <w:spacing w:before="0" w:after="0" w:line="240" w:lineRule="auto"/>
              <w:jc w:val="center"/>
              <w:rPr>
                <w:rFonts w:asciiTheme="minorHAnsi" w:hAnsiTheme="minorHAnsi" w:cstheme="minorHAnsi"/>
                <w:szCs w:val="20"/>
              </w:rPr>
            </w:pPr>
          </w:p>
        </w:tc>
      </w:tr>
      <w:tr w:rsidR="00D5351D" w:rsidRPr="00313F9C" w14:paraId="62634B7A" w14:textId="77777777" w:rsidTr="00A40297">
        <w:trPr>
          <w:trHeight w:val="255"/>
        </w:trPr>
        <w:tc>
          <w:tcPr>
            <w:tcW w:w="4815" w:type="dxa"/>
            <w:shd w:val="clear" w:color="000000" w:fill="DCE6F1"/>
            <w:noWrap/>
            <w:vAlign w:val="bottom"/>
            <w:hideMark/>
          </w:tcPr>
          <w:p w14:paraId="47CA8C77" w14:textId="77777777"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Obnova a inovácie technológií</w:t>
            </w:r>
          </w:p>
        </w:tc>
        <w:tc>
          <w:tcPr>
            <w:tcW w:w="2197" w:type="dxa"/>
            <w:shd w:val="clear" w:color="auto" w:fill="auto"/>
            <w:noWrap/>
            <w:vAlign w:val="center"/>
            <w:hideMark/>
          </w:tcPr>
          <w:p w14:paraId="407B90EA" w14:textId="03EC6866"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8,3</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auto" w:fill="auto"/>
            <w:noWrap/>
            <w:vAlign w:val="center"/>
            <w:hideMark/>
          </w:tcPr>
          <w:p w14:paraId="5F73391F" w14:textId="61741D5D" w:rsidR="00D5351D" w:rsidRPr="005A7D49" w:rsidRDefault="00D5351D" w:rsidP="005A7D49">
            <w:pPr>
              <w:pStyle w:val="BodyText"/>
              <w:spacing w:before="0" w:after="0" w:line="240" w:lineRule="auto"/>
              <w:jc w:val="center"/>
              <w:rPr>
                <w:rFonts w:asciiTheme="minorHAnsi" w:hAnsiTheme="minorHAnsi" w:cstheme="minorHAnsi"/>
                <w:szCs w:val="20"/>
              </w:rPr>
            </w:pPr>
          </w:p>
        </w:tc>
      </w:tr>
      <w:tr w:rsidR="00D5351D" w:rsidRPr="00313F9C" w14:paraId="718EC90C" w14:textId="77777777" w:rsidTr="00A40297">
        <w:trPr>
          <w:trHeight w:val="255"/>
        </w:trPr>
        <w:tc>
          <w:tcPr>
            <w:tcW w:w="4815" w:type="dxa"/>
            <w:shd w:val="clear" w:color="000000" w:fill="BDD7EE"/>
            <w:noWrap/>
            <w:vAlign w:val="center"/>
            <w:hideMark/>
          </w:tcPr>
          <w:p w14:paraId="165372C5" w14:textId="7009804C" w:rsidR="00D5351D" w:rsidRPr="005A7D49" w:rsidRDefault="00D5351D" w:rsidP="005A7D49">
            <w:pPr>
              <w:spacing w:before="0" w:after="0" w:line="240" w:lineRule="auto"/>
              <w:jc w:val="left"/>
              <w:rPr>
                <w:rFonts w:asciiTheme="minorHAnsi" w:hAnsiTheme="minorHAnsi" w:cstheme="minorHAnsi"/>
                <w:color w:val="000000"/>
                <w:szCs w:val="20"/>
              </w:rPr>
            </w:pPr>
            <w:r w:rsidRPr="005A7D49">
              <w:rPr>
                <w:rFonts w:asciiTheme="minorHAnsi" w:hAnsiTheme="minorHAnsi" w:cstheme="minorHAnsi"/>
                <w:color w:val="000000"/>
                <w:szCs w:val="20"/>
              </w:rPr>
              <w:t>Súhrn podielov</w:t>
            </w:r>
          </w:p>
        </w:tc>
        <w:tc>
          <w:tcPr>
            <w:tcW w:w="2197" w:type="dxa"/>
            <w:shd w:val="clear" w:color="000000" w:fill="BDD7EE"/>
            <w:noWrap/>
            <w:vAlign w:val="center"/>
            <w:hideMark/>
          </w:tcPr>
          <w:p w14:paraId="1A66B52D" w14:textId="43BA7EA8"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100,0</w:t>
            </w:r>
            <w:r w:rsidR="00E46FDD">
              <w:rPr>
                <w:rFonts w:asciiTheme="minorHAnsi" w:hAnsiTheme="minorHAnsi" w:cstheme="minorHAnsi"/>
                <w:szCs w:val="20"/>
              </w:rPr>
              <w:t xml:space="preserve"> </w:t>
            </w:r>
            <w:r w:rsidRPr="005A7D49">
              <w:rPr>
                <w:rFonts w:asciiTheme="minorHAnsi" w:hAnsiTheme="minorHAnsi" w:cstheme="minorHAnsi"/>
                <w:szCs w:val="20"/>
              </w:rPr>
              <w:t>%</w:t>
            </w:r>
          </w:p>
        </w:tc>
        <w:tc>
          <w:tcPr>
            <w:tcW w:w="2197" w:type="dxa"/>
            <w:shd w:val="clear" w:color="000000" w:fill="BDD7EE"/>
            <w:noWrap/>
            <w:vAlign w:val="center"/>
            <w:hideMark/>
          </w:tcPr>
          <w:p w14:paraId="71414F5E" w14:textId="6E3D7482" w:rsidR="00D5351D" w:rsidRPr="005A7D49" w:rsidRDefault="00D5351D" w:rsidP="005A7D49">
            <w:pPr>
              <w:pStyle w:val="BodyText"/>
              <w:spacing w:before="0" w:after="0" w:line="240" w:lineRule="auto"/>
              <w:jc w:val="center"/>
              <w:rPr>
                <w:rFonts w:asciiTheme="minorHAnsi" w:hAnsiTheme="minorHAnsi" w:cstheme="minorHAnsi"/>
                <w:szCs w:val="20"/>
              </w:rPr>
            </w:pPr>
            <w:r w:rsidRPr="005A7D49">
              <w:rPr>
                <w:rFonts w:asciiTheme="minorHAnsi" w:hAnsiTheme="minorHAnsi" w:cstheme="minorHAnsi"/>
                <w:szCs w:val="20"/>
              </w:rPr>
              <w:t>43,7</w:t>
            </w:r>
            <w:r w:rsidR="00E46FDD">
              <w:rPr>
                <w:rFonts w:asciiTheme="minorHAnsi" w:hAnsiTheme="minorHAnsi" w:cstheme="minorHAnsi"/>
                <w:szCs w:val="20"/>
              </w:rPr>
              <w:t xml:space="preserve"> </w:t>
            </w:r>
            <w:r w:rsidRPr="005A7D49">
              <w:rPr>
                <w:rFonts w:asciiTheme="minorHAnsi" w:hAnsiTheme="minorHAnsi" w:cstheme="minorHAnsi"/>
                <w:szCs w:val="20"/>
              </w:rPr>
              <w:t>%</w:t>
            </w:r>
          </w:p>
        </w:tc>
      </w:tr>
    </w:tbl>
    <w:p w14:paraId="66DA71BF" w14:textId="2FD6D39C" w:rsidR="007876F0" w:rsidRPr="005A7D49" w:rsidRDefault="00D5351D" w:rsidP="00716930">
      <w:pPr>
        <w:rPr>
          <w:i/>
          <w:sz w:val="16"/>
        </w:rPr>
      </w:pPr>
      <w:r w:rsidRPr="005A7D49">
        <w:rPr>
          <w:i/>
          <w:sz w:val="16"/>
        </w:rPr>
        <w:t xml:space="preserve">Zdroj: Zmluva ETC </w:t>
      </w:r>
    </w:p>
    <w:p w14:paraId="26CAB874" w14:textId="676CDC0F" w:rsidR="00D5351D" w:rsidRDefault="00D5351D" w:rsidP="00716930">
      <w:r>
        <w:t xml:space="preserve">Poskytovatelia EETS zabezpečujú pre svojich zákazníkov a prenesene pre </w:t>
      </w:r>
      <w:r w:rsidR="00B324B6">
        <w:t>Správc</w:t>
      </w:r>
      <w:r>
        <w:t>u výberu mýta služby, ktorých vecný obsah a zamerane zodpovedná čiastkovým službám</w:t>
      </w:r>
      <w:r w:rsidR="00F82A1B">
        <w:t xml:space="preserve"> „Výber mýta“, </w:t>
      </w:r>
      <w:r>
        <w:t xml:space="preserve"> </w:t>
      </w:r>
      <w:r w:rsidR="00F82A1B">
        <w:t>„</w:t>
      </w:r>
      <w:r w:rsidR="00F82A1B" w:rsidRPr="00F82A1B">
        <w:t>Distribúcia, správa a</w:t>
      </w:r>
      <w:r w:rsidR="00F82A1B">
        <w:t> </w:t>
      </w:r>
      <w:r w:rsidR="00F82A1B" w:rsidRPr="00F82A1B">
        <w:t>údržba palubných jednotiek</w:t>
      </w:r>
      <w:r w:rsidR="00F82A1B">
        <w:t>“ a „</w:t>
      </w:r>
      <w:r w:rsidR="00F82A1B" w:rsidRPr="00F82A1B">
        <w:t>Zákaznícke služby</w:t>
      </w:r>
      <w:r w:rsidR="00F82A1B">
        <w:t>“. Uvedené čiastkové služby predstavujú podiel 43,7 % z celkovej ceny služieb SkyTollu podľa Zmluvy ETC.</w:t>
      </w:r>
    </w:p>
    <w:p w14:paraId="447D758D" w14:textId="202975F7" w:rsidR="00F82A1B" w:rsidRDefault="00F82A1B" w:rsidP="00716930">
      <w:r>
        <w:t xml:space="preserve">Vzťah medzi cenou služieb a sumou výberu mýta opisuje ukazovateľ nákladovej výnosnosti. Nákladová výnosnosť je definovaná ako pomer celkových nákladov na výber mýta k sume vybraného mýta v danom roku </w:t>
      </w:r>
      <w:r w:rsidRPr="005A7D49">
        <w:rPr>
          <w:i/>
          <w:u w:val="single"/>
        </w:rPr>
        <w:t>r</w:t>
      </w:r>
      <w:r>
        <w:t xml:space="preserve"> (bez DPH):</w:t>
      </w:r>
    </w:p>
    <w:p w14:paraId="6DB9EE5D" w14:textId="13B69133" w:rsidR="00F82A1B" w:rsidRDefault="00FD60B7" w:rsidP="00716930">
      <m:oMathPara>
        <m:oMath>
          <m:sSub>
            <m:sSubPr>
              <m:ctrlPr>
                <w:rPr>
                  <w:rFonts w:ascii="Cambria Math" w:hAnsi="Cambria Math"/>
                  <w:i/>
                </w:rPr>
              </m:ctrlPr>
            </m:sSubPr>
            <m:e>
              <m:r>
                <w:rPr>
                  <w:rFonts w:ascii="Cambria Math" w:hAnsi="Cambria Math"/>
                </w:rPr>
                <m:t>nákladová výnosnosť</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náklady</m:t>
                  </m:r>
                </m:e>
                <m:sub>
                  <m:r>
                    <w:rPr>
                      <w:rFonts w:ascii="Cambria Math" w:hAnsi="Cambria Math"/>
                    </w:rPr>
                    <m:t>r</m:t>
                  </m:r>
                </m:sub>
              </m:sSub>
            </m:num>
            <m:den>
              <m:sSub>
                <m:sSubPr>
                  <m:ctrlPr>
                    <w:rPr>
                      <w:rFonts w:ascii="Cambria Math" w:hAnsi="Cambria Math"/>
                      <w:i/>
                    </w:rPr>
                  </m:ctrlPr>
                </m:sSubPr>
                <m:e>
                  <m:r>
                    <w:rPr>
                      <w:rFonts w:ascii="Cambria Math" w:hAnsi="Cambria Math"/>
                    </w:rPr>
                    <m:t>výnosy</m:t>
                  </m:r>
                </m:e>
                <m:sub>
                  <m:r>
                    <w:rPr>
                      <w:rFonts w:ascii="Cambria Math" w:hAnsi="Cambria Math"/>
                    </w:rPr>
                    <m:t>r</m:t>
                  </m:r>
                </m:sub>
              </m:sSub>
            </m:den>
          </m:f>
          <m:r>
            <w:rPr>
              <w:rFonts w:ascii="Cambria Math" w:hAnsi="Cambria Math"/>
            </w:rPr>
            <m:t>×100  [%]</m:t>
          </m:r>
        </m:oMath>
      </m:oMathPara>
    </w:p>
    <w:p w14:paraId="17189941" w14:textId="77777777" w:rsidR="00366F12" w:rsidRDefault="00366F12" w:rsidP="00716930"/>
    <w:p w14:paraId="5A6DB325" w14:textId="411B296B" w:rsidR="00D5351D" w:rsidRDefault="00720F71" w:rsidP="00716930">
      <w:r>
        <w:t>Plánovaná nákladová výnosnosť na referenčné obdobie rokov 2022</w:t>
      </w:r>
      <w:r w:rsidR="00E46FDD">
        <w:t xml:space="preserve"> </w:t>
      </w:r>
      <w:r>
        <w:t>-</w:t>
      </w:r>
      <w:r w:rsidR="00E46FDD">
        <w:t xml:space="preserve"> </w:t>
      </w:r>
      <w:r>
        <w:t>2026 je vypočítaná na základe vstupných údajov</w:t>
      </w:r>
      <w:r w:rsidR="00EA633C">
        <w:t xml:space="preserve"> platných pre nulový variant, uvedených</w:t>
      </w:r>
      <w:r>
        <w:t> </w:t>
      </w:r>
      <w:r w:rsidR="00B552CC">
        <w:t xml:space="preserve">v </w:t>
      </w:r>
      <w:r>
        <w:t xml:space="preserve">čl. </w:t>
      </w:r>
      <w:r>
        <w:fldChar w:fldCharType="begin"/>
      </w:r>
      <w:r>
        <w:instrText xml:space="preserve"> REF _Ref73105194 \r \h </w:instrText>
      </w:r>
      <w:r>
        <w:fldChar w:fldCharType="separate"/>
      </w:r>
      <w:r w:rsidR="00A86720">
        <w:t>4.1.2</w:t>
      </w:r>
      <w:r>
        <w:fldChar w:fldCharType="end"/>
      </w:r>
      <w:r>
        <w:t xml:space="preserve"> a </w:t>
      </w:r>
      <w:r>
        <w:fldChar w:fldCharType="begin"/>
      </w:r>
      <w:r>
        <w:instrText xml:space="preserve"> REF _Ref73105204 \r \h </w:instrText>
      </w:r>
      <w:r>
        <w:fldChar w:fldCharType="separate"/>
      </w:r>
      <w:r w:rsidR="00A86720">
        <w:t>4.1.3</w:t>
      </w:r>
      <w:r>
        <w:fldChar w:fldCharType="end"/>
      </w:r>
      <w:r>
        <w:t>. Na zachovanie rovn</w:t>
      </w:r>
      <w:r w:rsidR="00E46FDD">
        <w:t>ak</w:t>
      </w:r>
      <w:r>
        <w:t>ých podmienok pre poskytovateľov EETS a SkyToll sa ako vstupné údaje použijú náklady a výnosy pred zavedením EETS, teda údaje platné pre variant 0.</w:t>
      </w:r>
    </w:p>
    <w:p w14:paraId="4A10D173" w14:textId="77777777" w:rsidR="00366F12" w:rsidRDefault="00366F12" w:rsidP="00716930"/>
    <w:p w14:paraId="2F9C6F95" w14:textId="6B1B48DF" w:rsidR="00720F71" w:rsidRDefault="00720F71" w:rsidP="005A7D49">
      <w:pPr>
        <w:pStyle w:val="Caption"/>
      </w:pPr>
      <w:r>
        <w:t xml:space="preserve">Tab. </w:t>
      </w:r>
      <w:r>
        <w:fldChar w:fldCharType="begin"/>
      </w:r>
      <w:r>
        <w:instrText xml:space="preserve"> SEQ Tab. \* ARABIC </w:instrText>
      </w:r>
      <w:r>
        <w:fldChar w:fldCharType="separate"/>
      </w:r>
      <w:r w:rsidR="00A86720">
        <w:rPr>
          <w:noProof/>
        </w:rPr>
        <w:t>10</w:t>
      </w:r>
      <w:r>
        <w:fldChar w:fldCharType="end"/>
      </w:r>
      <w:r>
        <w:t xml:space="preserve"> - Nákladová výnosnosť výberu mýta bez implementácie EETS</w:t>
      </w:r>
    </w:p>
    <w:tbl>
      <w:tblP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256"/>
        <w:gridCol w:w="1190"/>
        <w:gridCol w:w="1191"/>
        <w:gridCol w:w="1190"/>
        <w:gridCol w:w="1191"/>
        <w:gridCol w:w="1191"/>
      </w:tblGrid>
      <w:tr w:rsidR="00720F71" w:rsidRPr="00313F9C" w14:paraId="638A76EA" w14:textId="77777777" w:rsidTr="00A40297">
        <w:trPr>
          <w:trHeight w:val="255"/>
        </w:trPr>
        <w:tc>
          <w:tcPr>
            <w:tcW w:w="3256" w:type="dxa"/>
            <w:shd w:val="clear" w:color="000000" w:fill="BDD7EE"/>
            <w:noWrap/>
            <w:vAlign w:val="center"/>
            <w:hideMark/>
          </w:tcPr>
          <w:p w14:paraId="4B575641" w14:textId="7627EF0F" w:rsidR="00720F71" w:rsidRPr="005A7D49" w:rsidRDefault="00720F71" w:rsidP="005A7D49">
            <w:pPr>
              <w:pStyle w:val="BodyText"/>
              <w:spacing w:before="0" w:after="0" w:line="240" w:lineRule="auto"/>
              <w:rPr>
                <w:rFonts w:asciiTheme="minorHAnsi" w:hAnsiTheme="minorHAnsi" w:cstheme="minorHAnsi"/>
              </w:rPr>
            </w:pPr>
            <w:r w:rsidRPr="005A7D49">
              <w:rPr>
                <w:rFonts w:asciiTheme="minorHAnsi" w:hAnsiTheme="minorHAnsi" w:cstheme="minorHAnsi"/>
              </w:rPr>
              <w:t>Údaje v EUR</w:t>
            </w:r>
          </w:p>
        </w:tc>
        <w:tc>
          <w:tcPr>
            <w:tcW w:w="1190" w:type="dxa"/>
            <w:shd w:val="clear" w:color="000000" w:fill="BDD7EE"/>
            <w:noWrap/>
            <w:vAlign w:val="center"/>
            <w:hideMark/>
          </w:tcPr>
          <w:p w14:paraId="7094E39C" w14:textId="77777777" w:rsidR="00720F71" w:rsidRPr="005A7D49" w:rsidRDefault="00720F71" w:rsidP="005A7D49">
            <w:pPr>
              <w:pStyle w:val="BodyText"/>
              <w:spacing w:before="0" w:after="0" w:line="240" w:lineRule="auto"/>
              <w:jc w:val="center"/>
              <w:rPr>
                <w:rFonts w:asciiTheme="minorHAnsi" w:hAnsiTheme="minorHAnsi" w:cstheme="minorHAnsi"/>
              </w:rPr>
            </w:pPr>
            <w:r w:rsidRPr="005A7D49">
              <w:rPr>
                <w:rFonts w:asciiTheme="minorHAnsi" w:hAnsiTheme="minorHAnsi" w:cstheme="minorHAnsi"/>
              </w:rPr>
              <w:t>2022</w:t>
            </w:r>
          </w:p>
        </w:tc>
        <w:tc>
          <w:tcPr>
            <w:tcW w:w="1191" w:type="dxa"/>
            <w:shd w:val="clear" w:color="000000" w:fill="BDD7EE"/>
            <w:noWrap/>
            <w:vAlign w:val="center"/>
            <w:hideMark/>
          </w:tcPr>
          <w:p w14:paraId="1AECDC5F" w14:textId="77777777" w:rsidR="00720F71" w:rsidRPr="005A7D49" w:rsidRDefault="00720F71" w:rsidP="005A7D49">
            <w:pPr>
              <w:pStyle w:val="BodyText"/>
              <w:spacing w:before="0" w:after="0" w:line="240" w:lineRule="auto"/>
              <w:jc w:val="center"/>
              <w:rPr>
                <w:rFonts w:asciiTheme="minorHAnsi" w:hAnsiTheme="minorHAnsi" w:cstheme="minorHAnsi"/>
              </w:rPr>
            </w:pPr>
            <w:r w:rsidRPr="005A7D49">
              <w:rPr>
                <w:rFonts w:asciiTheme="minorHAnsi" w:hAnsiTheme="minorHAnsi" w:cstheme="minorHAnsi"/>
              </w:rPr>
              <w:t>2023</w:t>
            </w:r>
          </w:p>
        </w:tc>
        <w:tc>
          <w:tcPr>
            <w:tcW w:w="1190" w:type="dxa"/>
            <w:shd w:val="clear" w:color="000000" w:fill="BDD7EE"/>
            <w:noWrap/>
            <w:vAlign w:val="center"/>
            <w:hideMark/>
          </w:tcPr>
          <w:p w14:paraId="0BCEF65E" w14:textId="77777777" w:rsidR="00720F71" w:rsidRPr="005A7D49" w:rsidRDefault="00720F71" w:rsidP="005A7D49">
            <w:pPr>
              <w:pStyle w:val="BodyText"/>
              <w:spacing w:before="0" w:after="0" w:line="240" w:lineRule="auto"/>
              <w:jc w:val="center"/>
              <w:rPr>
                <w:rFonts w:asciiTheme="minorHAnsi" w:hAnsiTheme="minorHAnsi" w:cstheme="minorHAnsi"/>
              </w:rPr>
            </w:pPr>
            <w:r w:rsidRPr="005A7D49">
              <w:rPr>
                <w:rFonts w:asciiTheme="minorHAnsi" w:hAnsiTheme="minorHAnsi" w:cstheme="minorHAnsi"/>
              </w:rPr>
              <w:t>2024</w:t>
            </w:r>
          </w:p>
        </w:tc>
        <w:tc>
          <w:tcPr>
            <w:tcW w:w="1191" w:type="dxa"/>
            <w:shd w:val="clear" w:color="000000" w:fill="BDD7EE"/>
            <w:noWrap/>
            <w:vAlign w:val="center"/>
            <w:hideMark/>
          </w:tcPr>
          <w:p w14:paraId="1DCE1D10" w14:textId="77777777" w:rsidR="00720F71" w:rsidRPr="005A7D49" w:rsidRDefault="00720F71" w:rsidP="005A7D49">
            <w:pPr>
              <w:pStyle w:val="BodyText"/>
              <w:spacing w:before="0" w:after="0" w:line="240" w:lineRule="auto"/>
              <w:jc w:val="center"/>
              <w:rPr>
                <w:rFonts w:asciiTheme="minorHAnsi" w:hAnsiTheme="minorHAnsi" w:cstheme="minorHAnsi"/>
              </w:rPr>
            </w:pPr>
            <w:r w:rsidRPr="005A7D49">
              <w:rPr>
                <w:rFonts w:asciiTheme="minorHAnsi" w:hAnsiTheme="minorHAnsi" w:cstheme="minorHAnsi"/>
              </w:rPr>
              <w:t>2025</w:t>
            </w:r>
          </w:p>
        </w:tc>
        <w:tc>
          <w:tcPr>
            <w:tcW w:w="1191" w:type="dxa"/>
            <w:shd w:val="clear" w:color="000000" w:fill="BDD7EE"/>
            <w:noWrap/>
            <w:vAlign w:val="center"/>
            <w:hideMark/>
          </w:tcPr>
          <w:p w14:paraId="073DA909" w14:textId="77777777" w:rsidR="00720F71" w:rsidRPr="005A7D49" w:rsidRDefault="00720F71" w:rsidP="005A7D49">
            <w:pPr>
              <w:pStyle w:val="BodyText"/>
              <w:spacing w:before="0" w:after="0" w:line="240" w:lineRule="auto"/>
              <w:jc w:val="center"/>
              <w:rPr>
                <w:rFonts w:asciiTheme="minorHAnsi" w:hAnsiTheme="minorHAnsi" w:cstheme="minorHAnsi"/>
              </w:rPr>
            </w:pPr>
            <w:r w:rsidRPr="005A7D49">
              <w:rPr>
                <w:rFonts w:asciiTheme="minorHAnsi" w:hAnsiTheme="minorHAnsi" w:cstheme="minorHAnsi"/>
              </w:rPr>
              <w:t>2026</w:t>
            </w:r>
          </w:p>
        </w:tc>
      </w:tr>
      <w:tr w:rsidR="00CB29DB" w:rsidRPr="00313F9C" w14:paraId="6F1F0EC5" w14:textId="77777777" w:rsidTr="00A40297">
        <w:trPr>
          <w:trHeight w:val="255"/>
        </w:trPr>
        <w:tc>
          <w:tcPr>
            <w:tcW w:w="3256" w:type="dxa"/>
            <w:shd w:val="clear" w:color="000000" w:fill="DDEBF7"/>
            <w:noWrap/>
            <w:vAlign w:val="center"/>
            <w:hideMark/>
          </w:tcPr>
          <w:p w14:paraId="5200D522" w14:textId="77777777" w:rsidR="00CB29DB" w:rsidRPr="005A7D49" w:rsidRDefault="00CB29DB" w:rsidP="00CB29DB">
            <w:pPr>
              <w:pStyle w:val="BodyText"/>
              <w:spacing w:before="0" w:after="0" w:line="240" w:lineRule="auto"/>
              <w:rPr>
                <w:rFonts w:asciiTheme="minorHAnsi" w:hAnsiTheme="minorHAnsi" w:cstheme="minorHAnsi"/>
              </w:rPr>
            </w:pPr>
            <w:r w:rsidRPr="005A7D49">
              <w:rPr>
                <w:rFonts w:asciiTheme="minorHAnsi" w:hAnsiTheme="minorHAnsi" w:cstheme="minorHAnsi"/>
              </w:rPr>
              <w:t>Celkové náklady výberu mýta, var. 0</w:t>
            </w:r>
          </w:p>
        </w:tc>
        <w:tc>
          <w:tcPr>
            <w:tcW w:w="1190" w:type="dxa"/>
            <w:shd w:val="clear" w:color="auto" w:fill="auto"/>
            <w:noWrap/>
            <w:vAlign w:val="center"/>
            <w:hideMark/>
          </w:tcPr>
          <w:p w14:paraId="04FD694C" w14:textId="66A6ABFA"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77 423 397</w:t>
            </w:r>
          </w:p>
        </w:tc>
        <w:tc>
          <w:tcPr>
            <w:tcW w:w="1191" w:type="dxa"/>
            <w:shd w:val="clear" w:color="auto" w:fill="auto"/>
            <w:noWrap/>
            <w:vAlign w:val="center"/>
            <w:hideMark/>
          </w:tcPr>
          <w:p w14:paraId="08BD4A53" w14:textId="23207EA6"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69 789 638</w:t>
            </w:r>
          </w:p>
        </w:tc>
        <w:tc>
          <w:tcPr>
            <w:tcW w:w="1190" w:type="dxa"/>
            <w:shd w:val="clear" w:color="auto" w:fill="auto"/>
            <w:noWrap/>
            <w:vAlign w:val="center"/>
            <w:hideMark/>
          </w:tcPr>
          <w:p w14:paraId="60D91117" w14:textId="30A75E34"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69 774 133</w:t>
            </w:r>
          </w:p>
        </w:tc>
        <w:tc>
          <w:tcPr>
            <w:tcW w:w="1191" w:type="dxa"/>
            <w:shd w:val="clear" w:color="auto" w:fill="auto"/>
            <w:noWrap/>
            <w:vAlign w:val="center"/>
            <w:hideMark/>
          </w:tcPr>
          <w:p w14:paraId="02718F61" w14:textId="1FD5B7B3"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70 471 769</w:t>
            </w:r>
          </w:p>
        </w:tc>
        <w:tc>
          <w:tcPr>
            <w:tcW w:w="1191" w:type="dxa"/>
            <w:shd w:val="clear" w:color="auto" w:fill="auto"/>
            <w:noWrap/>
            <w:vAlign w:val="center"/>
            <w:hideMark/>
          </w:tcPr>
          <w:p w14:paraId="59961E8E" w14:textId="64F51A74"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71 202 307</w:t>
            </w:r>
          </w:p>
        </w:tc>
      </w:tr>
      <w:tr w:rsidR="00CB29DB" w:rsidRPr="00313F9C" w14:paraId="42D5BB07" w14:textId="77777777" w:rsidTr="00A40297">
        <w:trPr>
          <w:trHeight w:val="255"/>
        </w:trPr>
        <w:tc>
          <w:tcPr>
            <w:tcW w:w="3256" w:type="dxa"/>
            <w:shd w:val="clear" w:color="000000" w:fill="DDEBF7"/>
            <w:noWrap/>
            <w:vAlign w:val="center"/>
            <w:hideMark/>
          </w:tcPr>
          <w:p w14:paraId="15867C9A" w14:textId="77777777" w:rsidR="00CB29DB" w:rsidRPr="005A7D49" w:rsidRDefault="00CB29DB" w:rsidP="00CB29DB">
            <w:pPr>
              <w:pStyle w:val="BodyText"/>
              <w:spacing w:before="0" w:after="0" w:line="240" w:lineRule="auto"/>
              <w:rPr>
                <w:rFonts w:asciiTheme="minorHAnsi" w:hAnsiTheme="minorHAnsi" w:cstheme="minorHAnsi"/>
              </w:rPr>
            </w:pPr>
            <w:r w:rsidRPr="005A7D49">
              <w:rPr>
                <w:rFonts w:asciiTheme="minorHAnsi" w:hAnsiTheme="minorHAnsi" w:cstheme="minorHAnsi"/>
              </w:rPr>
              <w:t>Celkové príjmy z výberu mýta</w:t>
            </w:r>
          </w:p>
        </w:tc>
        <w:tc>
          <w:tcPr>
            <w:tcW w:w="1190" w:type="dxa"/>
            <w:shd w:val="clear" w:color="auto" w:fill="auto"/>
            <w:noWrap/>
            <w:vAlign w:val="center"/>
            <w:hideMark/>
          </w:tcPr>
          <w:p w14:paraId="6366DC1C" w14:textId="2A04B879"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233 655 755</w:t>
            </w:r>
          </w:p>
        </w:tc>
        <w:tc>
          <w:tcPr>
            <w:tcW w:w="1191" w:type="dxa"/>
            <w:shd w:val="clear" w:color="auto" w:fill="auto"/>
            <w:noWrap/>
            <w:vAlign w:val="center"/>
            <w:hideMark/>
          </w:tcPr>
          <w:p w14:paraId="7C1718E7" w14:textId="1225B5C1"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245 504 057</w:t>
            </w:r>
          </w:p>
        </w:tc>
        <w:tc>
          <w:tcPr>
            <w:tcW w:w="1190" w:type="dxa"/>
            <w:shd w:val="clear" w:color="auto" w:fill="auto"/>
            <w:noWrap/>
            <w:vAlign w:val="center"/>
            <w:hideMark/>
          </w:tcPr>
          <w:p w14:paraId="1D2343FD" w14:textId="4BBA5EA4"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248 712 141</w:t>
            </w:r>
          </w:p>
        </w:tc>
        <w:tc>
          <w:tcPr>
            <w:tcW w:w="1191" w:type="dxa"/>
            <w:shd w:val="clear" w:color="auto" w:fill="auto"/>
            <w:noWrap/>
            <w:vAlign w:val="center"/>
            <w:hideMark/>
          </w:tcPr>
          <w:p w14:paraId="6CF4144E" w14:textId="47CD95E4"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251 653 366</w:t>
            </w:r>
          </w:p>
        </w:tc>
        <w:tc>
          <w:tcPr>
            <w:tcW w:w="1191" w:type="dxa"/>
            <w:shd w:val="clear" w:color="auto" w:fill="auto"/>
            <w:noWrap/>
            <w:vAlign w:val="center"/>
            <w:hideMark/>
          </w:tcPr>
          <w:p w14:paraId="6ABBD48B" w14:textId="34FC1D47" w:rsidR="00CB29DB" w:rsidRPr="005A7D49" w:rsidRDefault="00CB29DB" w:rsidP="00CB29DB">
            <w:pPr>
              <w:pStyle w:val="BodyText"/>
              <w:spacing w:before="0" w:after="0" w:line="240" w:lineRule="auto"/>
              <w:jc w:val="right"/>
              <w:rPr>
                <w:rFonts w:asciiTheme="minorHAnsi" w:hAnsiTheme="minorHAnsi" w:cstheme="minorHAnsi"/>
              </w:rPr>
            </w:pPr>
            <w:r>
              <w:rPr>
                <w:rFonts w:ascii="Calibri" w:hAnsi="Calibri" w:cs="Calibri"/>
                <w:color w:val="000000"/>
                <w:szCs w:val="20"/>
              </w:rPr>
              <w:t>255 239 016</w:t>
            </w:r>
          </w:p>
        </w:tc>
      </w:tr>
      <w:tr w:rsidR="00CB29DB" w:rsidRPr="00313F9C" w14:paraId="3B9AB38B" w14:textId="77777777" w:rsidTr="00A40297">
        <w:trPr>
          <w:trHeight w:val="255"/>
        </w:trPr>
        <w:tc>
          <w:tcPr>
            <w:tcW w:w="3256" w:type="dxa"/>
            <w:shd w:val="clear" w:color="000000" w:fill="BDD7EE"/>
            <w:noWrap/>
            <w:vAlign w:val="center"/>
            <w:hideMark/>
          </w:tcPr>
          <w:p w14:paraId="1C74CFEA" w14:textId="77777777" w:rsidR="00CB29DB" w:rsidRPr="005A7D49" w:rsidRDefault="00CB29DB" w:rsidP="00CB29DB">
            <w:pPr>
              <w:pStyle w:val="BodyText"/>
              <w:spacing w:before="0" w:after="0" w:line="240" w:lineRule="auto"/>
              <w:rPr>
                <w:rFonts w:asciiTheme="minorHAnsi" w:hAnsiTheme="minorHAnsi" w:cstheme="minorHAnsi"/>
              </w:rPr>
            </w:pPr>
            <w:r w:rsidRPr="005A7D49">
              <w:rPr>
                <w:rFonts w:asciiTheme="minorHAnsi" w:hAnsiTheme="minorHAnsi" w:cstheme="minorHAnsi"/>
              </w:rPr>
              <w:t>Nákladová výnosnosť v %</w:t>
            </w:r>
          </w:p>
        </w:tc>
        <w:tc>
          <w:tcPr>
            <w:tcW w:w="1190" w:type="dxa"/>
            <w:shd w:val="clear" w:color="000000" w:fill="BDD7EE"/>
            <w:noWrap/>
            <w:vAlign w:val="center"/>
            <w:hideMark/>
          </w:tcPr>
          <w:p w14:paraId="48590BB7" w14:textId="18FEECC4" w:rsidR="00CB29DB" w:rsidRPr="005A7D49" w:rsidRDefault="00CB29DB" w:rsidP="00CB29DB">
            <w:pPr>
              <w:pStyle w:val="BodyText"/>
              <w:spacing w:before="0" w:after="0" w:line="240" w:lineRule="auto"/>
              <w:jc w:val="center"/>
              <w:rPr>
                <w:rFonts w:asciiTheme="minorHAnsi" w:hAnsiTheme="minorHAnsi" w:cstheme="minorHAnsi"/>
              </w:rPr>
            </w:pPr>
            <w:r>
              <w:rPr>
                <w:rFonts w:ascii="Calibri" w:hAnsi="Calibri" w:cs="Calibri"/>
                <w:color w:val="000000"/>
                <w:szCs w:val="20"/>
              </w:rPr>
              <w:t>33,1</w:t>
            </w:r>
            <w:r w:rsidR="00E46FDD">
              <w:rPr>
                <w:rFonts w:ascii="Calibri" w:hAnsi="Calibri" w:cs="Calibri"/>
                <w:color w:val="000000"/>
                <w:szCs w:val="20"/>
              </w:rPr>
              <w:t xml:space="preserve"> </w:t>
            </w:r>
            <w:r>
              <w:rPr>
                <w:rFonts w:ascii="Calibri" w:hAnsi="Calibri" w:cs="Calibri"/>
                <w:color w:val="000000"/>
                <w:szCs w:val="20"/>
              </w:rPr>
              <w:t>%</w:t>
            </w:r>
          </w:p>
        </w:tc>
        <w:tc>
          <w:tcPr>
            <w:tcW w:w="1191" w:type="dxa"/>
            <w:shd w:val="clear" w:color="000000" w:fill="BDD7EE"/>
            <w:noWrap/>
            <w:vAlign w:val="center"/>
            <w:hideMark/>
          </w:tcPr>
          <w:p w14:paraId="1B233ECE" w14:textId="307EDAF0" w:rsidR="00CB29DB" w:rsidRPr="005A7D49" w:rsidRDefault="00CB29DB" w:rsidP="00CB29DB">
            <w:pPr>
              <w:pStyle w:val="BodyText"/>
              <w:spacing w:before="0" w:after="0" w:line="240" w:lineRule="auto"/>
              <w:jc w:val="center"/>
              <w:rPr>
                <w:rFonts w:asciiTheme="minorHAnsi" w:hAnsiTheme="minorHAnsi" w:cstheme="minorHAnsi"/>
              </w:rPr>
            </w:pPr>
            <w:r>
              <w:rPr>
                <w:rFonts w:ascii="Calibri" w:hAnsi="Calibri" w:cs="Calibri"/>
                <w:color w:val="000000"/>
                <w:szCs w:val="20"/>
              </w:rPr>
              <w:t>28,4</w:t>
            </w:r>
            <w:r w:rsidR="00E46FDD">
              <w:rPr>
                <w:rFonts w:ascii="Calibri" w:hAnsi="Calibri" w:cs="Calibri"/>
                <w:color w:val="000000"/>
                <w:szCs w:val="20"/>
              </w:rPr>
              <w:t xml:space="preserve"> </w:t>
            </w:r>
            <w:r>
              <w:rPr>
                <w:rFonts w:ascii="Calibri" w:hAnsi="Calibri" w:cs="Calibri"/>
                <w:color w:val="000000"/>
                <w:szCs w:val="20"/>
              </w:rPr>
              <w:t>%</w:t>
            </w:r>
          </w:p>
        </w:tc>
        <w:tc>
          <w:tcPr>
            <w:tcW w:w="1190" w:type="dxa"/>
            <w:shd w:val="clear" w:color="000000" w:fill="BDD7EE"/>
            <w:noWrap/>
            <w:vAlign w:val="center"/>
            <w:hideMark/>
          </w:tcPr>
          <w:p w14:paraId="322D17B7" w14:textId="7F1A331E" w:rsidR="00CB29DB" w:rsidRPr="005A7D49" w:rsidRDefault="00CB29DB" w:rsidP="00CB29DB">
            <w:pPr>
              <w:pStyle w:val="BodyText"/>
              <w:spacing w:before="0" w:after="0" w:line="240" w:lineRule="auto"/>
              <w:jc w:val="center"/>
              <w:rPr>
                <w:rFonts w:asciiTheme="minorHAnsi" w:hAnsiTheme="minorHAnsi" w:cstheme="minorHAnsi"/>
              </w:rPr>
            </w:pPr>
            <w:r>
              <w:rPr>
                <w:rFonts w:ascii="Calibri" w:hAnsi="Calibri" w:cs="Calibri"/>
                <w:color w:val="000000"/>
                <w:szCs w:val="20"/>
              </w:rPr>
              <w:t>28,1</w:t>
            </w:r>
            <w:r w:rsidR="00E46FDD">
              <w:rPr>
                <w:rFonts w:ascii="Calibri" w:hAnsi="Calibri" w:cs="Calibri"/>
                <w:color w:val="000000"/>
                <w:szCs w:val="20"/>
              </w:rPr>
              <w:t xml:space="preserve"> </w:t>
            </w:r>
            <w:r>
              <w:rPr>
                <w:rFonts w:ascii="Calibri" w:hAnsi="Calibri" w:cs="Calibri"/>
                <w:color w:val="000000"/>
                <w:szCs w:val="20"/>
              </w:rPr>
              <w:t>%</w:t>
            </w:r>
          </w:p>
        </w:tc>
        <w:tc>
          <w:tcPr>
            <w:tcW w:w="1191" w:type="dxa"/>
            <w:shd w:val="clear" w:color="000000" w:fill="BDD7EE"/>
            <w:noWrap/>
            <w:vAlign w:val="center"/>
            <w:hideMark/>
          </w:tcPr>
          <w:p w14:paraId="06F387C6" w14:textId="6E362521" w:rsidR="00CB29DB" w:rsidRPr="005A7D49" w:rsidRDefault="00CB29DB" w:rsidP="00CB29DB">
            <w:pPr>
              <w:pStyle w:val="BodyText"/>
              <w:spacing w:before="0" w:after="0" w:line="240" w:lineRule="auto"/>
              <w:jc w:val="center"/>
              <w:rPr>
                <w:rFonts w:asciiTheme="minorHAnsi" w:hAnsiTheme="minorHAnsi" w:cstheme="minorHAnsi"/>
              </w:rPr>
            </w:pPr>
            <w:r>
              <w:rPr>
                <w:rFonts w:ascii="Calibri" w:hAnsi="Calibri" w:cs="Calibri"/>
                <w:color w:val="000000"/>
                <w:szCs w:val="20"/>
              </w:rPr>
              <w:t>28,0</w:t>
            </w:r>
            <w:r w:rsidR="00E46FDD">
              <w:rPr>
                <w:rFonts w:ascii="Calibri" w:hAnsi="Calibri" w:cs="Calibri"/>
                <w:color w:val="000000"/>
                <w:szCs w:val="20"/>
              </w:rPr>
              <w:t xml:space="preserve"> </w:t>
            </w:r>
            <w:r>
              <w:rPr>
                <w:rFonts w:ascii="Calibri" w:hAnsi="Calibri" w:cs="Calibri"/>
                <w:color w:val="000000"/>
                <w:szCs w:val="20"/>
              </w:rPr>
              <w:t>%</w:t>
            </w:r>
          </w:p>
        </w:tc>
        <w:tc>
          <w:tcPr>
            <w:tcW w:w="1191" w:type="dxa"/>
            <w:shd w:val="clear" w:color="000000" w:fill="BDD7EE"/>
            <w:noWrap/>
            <w:vAlign w:val="center"/>
            <w:hideMark/>
          </w:tcPr>
          <w:p w14:paraId="47AC6490" w14:textId="19E8E281" w:rsidR="00CB29DB" w:rsidRPr="005A7D49" w:rsidRDefault="00CB29DB" w:rsidP="00CB29DB">
            <w:pPr>
              <w:pStyle w:val="BodyText"/>
              <w:spacing w:before="0" w:after="0" w:line="240" w:lineRule="auto"/>
              <w:jc w:val="center"/>
              <w:rPr>
                <w:rFonts w:asciiTheme="minorHAnsi" w:hAnsiTheme="minorHAnsi" w:cstheme="minorHAnsi"/>
              </w:rPr>
            </w:pPr>
            <w:r>
              <w:rPr>
                <w:rFonts w:ascii="Calibri" w:hAnsi="Calibri" w:cs="Calibri"/>
                <w:color w:val="000000"/>
                <w:szCs w:val="20"/>
              </w:rPr>
              <w:t>27,9</w:t>
            </w:r>
            <w:r w:rsidR="00E46FDD">
              <w:rPr>
                <w:rFonts w:ascii="Calibri" w:hAnsi="Calibri" w:cs="Calibri"/>
                <w:color w:val="000000"/>
                <w:szCs w:val="20"/>
              </w:rPr>
              <w:t xml:space="preserve"> </w:t>
            </w:r>
            <w:r>
              <w:rPr>
                <w:rFonts w:ascii="Calibri" w:hAnsi="Calibri" w:cs="Calibri"/>
                <w:color w:val="000000"/>
                <w:szCs w:val="20"/>
              </w:rPr>
              <w:t>%</w:t>
            </w:r>
          </w:p>
        </w:tc>
      </w:tr>
      <w:tr w:rsidR="00720F71" w:rsidRPr="00313F9C" w14:paraId="3EE566D3" w14:textId="77777777" w:rsidTr="00A40297">
        <w:trPr>
          <w:trHeight w:val="255"/>
        </w:trPr>
        <w:tc>
          <w:tcPr>
            <w:tcW w:w="3256" w:type="dxa"/>
            <w:shd w:val="clear" w:color="000000" w:fill="DDEBF7"/>
            <w:noWrap/>
            <w:vAlign w:val="center"/>
            <w:hideMark/>
          </w:tcPr>
          <w:p w14:paraId="38E69D0F" w14:textId="77777777" w:rsidR="00720F71" w:rsidRPr="005A7D49" w:rsidRDefault="00720F71" w:rsidP="005A7D49">
            <w:pPr>
              <w:pStyle w:val="BodyText"/>
              <w:spacing w:before="0" w:after="0" w:line="240" w:lineRule="auto"/>
              <w:rPr>
                <w:rFonts w:asciiTheme="minorHAnsi" w:hAnsiTheme="minorHAnsi" w:cstheme="minorHAnsi"/>
              </w:rPr>
            </w:pPr>
            <w:r w:rsidRPr="005A7D49">
              <w:rPr>
                <w:rFonts w:asciiTheme="minorHAnsi" w:hAnsiTheme="minorHAnsi" w:cstheme="minorHAnsi"/>
              </w:rPr>
              <w:t>Stredná nákladová výnosnosť v %</w:t>
            </w:r>
          </w:p>
        </w:tc>
        <w:tc>
          <w:tcPr>
            <w:tcW w:w="5953" w:type="dxa"/>
            <w:gridSpan w:val="5"/>
            <w:shd w:val="clear" w:color="auto" w:fill="auto"/>
            <w:noWrap/>
            <w:vAlign w:val="center"/>
            <w:hideMark/>
          </w:tcPr>
          <w:p w14:paraId="02241FD2" w14:textId="0860A4C9" w:rsidR="00720F71" w:rsidRPr="005A7D49" w:rsidRDefault="00CB29DB" w:rsidP="005A7D49">
            <w:pPr>
              <w:pStyle w:val="BodyText"/>
              <w:spacing w:before="0" w:after="0" w:line="240" w:lineRule="auto"/>
              <w:jc w:val="center"/>
              <w:rPr>
                <w:rFonts w:asciiTheme="minorHAnsi" w:hAnsiTheme="minorHAnsi" w:cstheme="minorHAnsi"/>
              </w:rPr>
            </w:pPr>
            <w:r>
              <w:rPr>
                <w:rFonts w:asciiTheme="minorHAnsi" w:hAnsiTheme="minorHAnsi" w:cstheme="minorHAnsi"/>
              </w:rPr>
              <w:t>29</w:t>
            </w:r>
            <w:r w:rsidR="00720F71" w:rsidRPr="005A7D49">
              <w:rPr>
                <w:rFonts w:asciiTheme="minorHAnsi" w:hAnsiTheme="minorHAnsi" w:cstheme="minorHAnsi"/>
              </w:rPr>
              <w:t>,1</w:t>
            </w:r>
            <w:r w:rsidR="00E46FDD">
              <w:rPr>
                <w:rFonts w:asciiTheme="minorHAnsi" w:hAnsiTheme="minorHAnsi" w:cstheme="minorHAnsi"/>
              </w:rPr>
              <w:t xml:space="preserve"> </w:t>
            </w:r>
            <w:r w:rsidR="00720F71" w:rsidRPr="005A7D49">
              <w:rPr>
                <w:rFonts w:asciiTheme="minorHAnsi" w:hAnsiTheme="minorHAnsi" w:cstheme="minorHAnsi"/>
              </w:rPr>
              <w:t>%</w:t>
            </w:r>
          </w:p>
        </w:tc>
      </w:tr>
    </w:tbl>
    <w:p w14:paraId="2A22641F" w14:textId="5B23A171" w:rsidR="00720F71" w:rsidRPr="005A7D49" w:rsidRDefault="00720F71" w:rsidP="00716930">
      <w:pPr>
        <w:rPr>
          <w:i/>
          <w:sz w:val="16"/>
          <w:szCs w:val="16"/>
        </w:rPr>
      </w:pPr>
      <w:r w:rsidRPr="005A7D49">
        <w:rPr>
          <w:i/>
          <w:sz w:val="16"/>
          <w:szCs w:val="16"/>
        </w:rPr>
        <w:t xml:space="preserve">Zdroj: údaje z čl. </w:t>
      </w:r>
      <w:r w:rsidR="00757270" w:rsidRPr="005A7D49">
        <w:rPr>
          <w:i/>
          <w:sz w:val="16"/>
          <w:szCs w:val="16"/>
        </w:rPr>
        <w:fldChar w:fldCharType="begin"/>
      </w:r>
      <w:r w:rsidR="00757270" w:rsidRPr="005A7D49">
        <w:rPr>
          <w:i/>
          <w:sz w:val="16"/>
          <w:szCs w:val="16"/>
        </w:rPr>
        <w:instrText xml:space="preserve"> REF _Ref73105194 \r \h  \* MERGEFORMAT </w:instrText>
      </w:r>
      <w:r w:rsidR="00757270" w:rsidRPr="005A7D49">
        <w:rPr>
          <w:i/>
          <w:sz w:val="16"/>
          <w:szCs w:val="16"/>
        </w:rPr>
      </w:r>
      <w:r w:rsidR="00757270" w:rsidRPr="005A7D49">
        <w:rPr>
          <w:i/>
          <w:sz w:val="16"/>
          <w:szCs w:val="16"/>
        </w:rPr>
        <w:fldChar w:fldCharType="separate"/>
      </w:r>
      <w:r w:rsidR="00A86720">
        <w:rPr>
          <w:i/>
          <w:sz w:val="16"/>
          <w:szCs w:val="16"/>
        </w:rPr>
        <w:t>4.1.2</w:t>
      </w:r>
      <w:r w:rsidR="00757270" w:rsidRPr="005A7D49">
        <w:rPr>
          <w:i/>
          <w:sz w:val="16"/>
          <w:szCs w:val="16"/>
        </w:rPr>
        <w:fldChar w:fldCharType="end"/>
      </w:r>
      <w:r w:rsidR="00757270" w:rsidRPr="005A7D49">
        <w:rPr>
          <w:i/>
          <w:sz w:val="16"/>
          <w:szCs w:val="16"/>
        </w:rPr>
        <w:t xml:space="preserve"> a </w:t>
      </w:r>
      <w:r w:rsidR="00757270" w:rsidRPr="005A7D49">
        <w:rPr>
          <w:i/>
          <w:sz w:val="16"/>
          <w:szCs w:val="16"/>
        </w:rPr>
        <w:fldChar w:fldCharType="begin"/>
      </w:r>
      <w:r w:rsidR="00757270" w:rsidRPr="005A7D49">
        <w:rPr>
          <w:i/>
          <w:sz w:val="16"/>
          <w:szCs w:val="16"/>
        </w:rPr>
        <w:instrText xml:space="preserve"> REF _Ref73105204 \r \h  \* MERGEFORMAT </w:instrText>
      </w:r>
      <w:r w:rsidR="00757270" w:rsidRPr="005A7D49">
        <w:rPr>
          <w:i/>
          <w:sz w:val="16"/>
          <w:szCs w:val="16"/>
        </w:rPr>
      </w:r>
      <w:r w:rsidR="00757270" w:rsidRPr="005A7D49">
        <w:rPr>
          <w:i/>
          <w:sz w:val="16"/>
          <w:szCs w:val="16"/>
        </w:rPr>
        <w:fldChar w:fldCharType="separate"/>
      </w:r>
      <w:r w:rsidR="00A86720">
        <w:rPr>
          <w:i/>
          <w:sz w:val="16"/>
          <w:szCs w:val="16"/>
        </w:rPr>
        <w:t>4.1.3</w:t>
      </w:r>
      <w:r w:rsidR="00757270" w:rsidRPr="005A7D49">
        <w:rPr>
          <w:i/>
          <w:sz w:val="16"/>
          <w:szCs w:val="16"/>
        </w:rPr>
        <w:fldChar w:fldCharType="end"/>
      </w:r>
    </w:p>
    <w:p w14:paraId="57011CDB" w14:textId="77777777" w:rsidR="00366F12" w:rsidRDefault="00366F12" w:rsidP="00716930"/>
    <w:p w14:paraId="2F12FB54" w14:textId="65D5D2B3" w:rsidR="00720F71" w:rsidRDefault="00757270" w:rsidP="00716930">
      <w:r>
        <w:t xml:space="preserve">Údaj nákladovej výnosnosti je možné interpretovať, že celkové náklady na výber mýta predstavujú priemerne </w:t>
      </w:r>
      <w:r w:rsidR="00CB29DB">
        <w:t>29</w:t>
      </w:r>
      <w:r>
        <w:t xml:space="preserve">,1 % z vybraného mýta. Poskytovatelia EETS zabezpečujú pre </w:t>
      </w:r>
      <w:r w:rsidR="00B324B6">
        <w:t>Správc</w:t>
      </w:r>
      <w:r>
        <w:t xml:space="preserve">u výberu mýta iba vybrané čiastkové služby, ktoré v porovnaní s cenou služieb SkyToll predstavujú spolu štrukturálny podiel 43,7 %. Za predpokladu, </w:t>
      </w:r>
      <w:r w:rsidR="00E46FDD">
        <w:t xml:space="preserve">že </w:t>
      </w:r>
      <w:r>
        <w:t xml:space="preserve">globálne platí nákladová výnosnosť výberu mýta </w:t>
      </w:r>
      <w:r w:rsidR="00CB29DB">
        <w:t>29</w:t>
      </w:r>
      <w:r>
        <w:t xml:space="preserve">,1 %, potom ekvivalentná cena služieb poskytovateľa EETS by mala predstavovať 43,7 % × </w:t>
      </w:r>
      <w:r w:rsidR="00CB29DB">
        <w:t>29</w:t>
      </w:r>
      <w:r>
        <w:t xml:space="preserve">,1 % = </w:t>
      </w:r>
      <w:r w:rsidR="00CB29DB">
        <w:t>12</w:t>
      </w:r>
      <w:r>
        <w:t>,</w:t>
      </w:r>
      <w:r w:rsidR="00CB29DB">
        <w:t>7 </w:t>
      </w:r>
      <w:r>
        <w:t>% z vybranej sumy mýta.</w:t>
      </w:r>
    </w:p>
    <w:p w14:paraId="12B1903C" w14:textId="19082150" w:rsidR="00EA513D" w:rsidRDefault="00757270" w:rsidP="00716930">
      <w:r>
        <w:t xml:space="preserve">Sadzba odmeny poskytovateľov EETS podľa tohto návrhu je stanovená na </w:t>
      </w:r>
      <w:r w:rsidR="00CB29DB">
        <w:t>12</w:t>
      </w:r>
      <w:r>
        <w:t>,</w:t>
      </w:r>
      <w:r w:rsidR="00CB29DB">
        <w:t xml:space="preserve">73 </w:t>
      </w:r>
      <w:r>
        <w:t xml:space="preserve">% </w:t>
      </w:r>
      <w:r w:rsidR="00EA513D">
        <w:t xml:space="preserve">z vybranej sumy mýta bez DPH a bez odpočítania poplatku na pokrytie nákladov </w:t>
      </w:r>
      <w:r w:rsidR="00B324B6">
        <w:t>Správc</w:t>
      </w:r>
      <w:r w:rsidR="00EA513D">
        <w:t xml:space="preserve">u výberu mýta </w:t>
      </w:r>
      <w:r w:rsidR="00C359D1">
        <w:t xml:space="preserve">na EETS </w:t>
      </w:r>
      <w:r w:rsidR="00EA513D">
        <w:t>(brutto sadzba odmeny).</w:t>
      </w:r>
    </w:p>
    <w:p w14:paraId="0B13337A" w14:textId="7595EE3B" w:rsidR="00716930" w:rsidRDefault="00EA513D" w:rsidP="00EA513D">
      <w:r>
        <w:t xml:space="preserve">Na kontrolu primeranosti sadzby odmeny poskytovateľov EETS bude vykonané porovnanie </w:t>
      </w:r>
      <w:r w:rsidR="00716930">
        <w:t>ekonomických ukazovateľov prevádzky mýtnych systémov v krajinách stredoeurópskeho regiónu</w:t>
      </w:r>
      <w:r>
        <w:t xml:space="preserve"> s navrhovanou sadzbou odmeny</w:t>
      </w:r>
      <w:r w:rsidR="00716930">
        <w:t xml:space="preserve">. Zdrojom vstupných dát </w:t>
      </w:r>
      <w:r>
        <w:t xml:space="preserve">pre kontrolné porovnanie </w:t>
      </w:r>
      <w:r w:rsidR="00716930">
        <w:t xml:space="preserve">je </w:t>
      </w:r>
      <w:r w:rsidR="00716930" w:rsidRPr="00FB2CC6">
        <w:t>Komparatívna analýza systémov spoplatnenia ETC</w:t>
      </w:r>
      <w:r w:rsidR="00716930">
        <w:t>, spracovaná VÚD Žilina v roku 2020.</w:t>
      </w:r>
    </w:p>
    <w:p w14:paraId="7AAA7AC7" w14:textId="359F8FB7" w:rsidR="00716930" w:rsidRDefault="00EA513D" w:rsidP="00716930">
      <w:r>
        <w:t>U</w:t>
      </w:r>
      <w:r w:rsidR="00716930">
        <w:t>kazovateľ nákladovej výnosnosti</w:t>
      </w:r>
      <w:r>
        <w:t xml:space="preserve"> v jednotlivých krajinách</w:t>
      </w:r>
      <w:r w:rsidR="00716930">
        <w:t xml:space="preserve"> je analyzovaný v kap. 2.1 štúdie</w:t>
      </w:r>
      <w:r w:rsidR="00716930" w:rsidRPr="000E4BB0">
        <w:t xml:space="preserve"> [11]</w:t>
      </w:r>
      <w:r w:rsidR="00716930">
        <w:t>. Pr</w:t>
      </w:r>
      <w:r w:rsidR="00E46FDD">
        <w:t>e</w:t>
      </w:r>
      <w:r w:rsidR="00716930">
        <w:t xml:space="preserve"> účely </w:t>
      </w:r>
      <w:r>
        <w:t>kontroly nášho návrhu</w:t>
      </w:r>
      <w:r w:rsidR="00716930">
        <w:t xml:space="preserve"> boli do posúdenia zahrnuté údaje z Nemecka, Česk</w:t>
      </w:r>
      <w:r w:rsidR="00E46FDD">
        <w:t>a</w:t>
      </w:r>
      <w:r w:rsidR="00716930">
        <w:t>, Rakúska a</w:t>
      </w:r>
      <w:r w:rsidR="00E46FDD">
        <w:t> </w:t>
      </w:r>
      <w:r w:rsidR="00716930">
        <w:t>Poľska</w:t>
      </w:r>
      <w:r w:rsidR="00E46FDD">
        <w:t>, uvádzané v tabuľke nižšie.</w:t>
      </w:r>
    </w:p>
    <w:p w14:paraId="79350B9E" w14:textId="0190D73B" w:rsidR="00716930" w:rsidRDefault="00716930" w:rsidP="00FA6605">
      <w:pPr>
        <w:pStyle w:val="Caption"/>
      </w:pPr>
      <w:r>
        <w:t xml:space="preserve">Tab. </w:t>
      </w:r>
      <w:r>
        <w:fldChar w:fldCharType="begin"/>
      </w:r>
      <w:r>
        <w:instrText xml:space="preserve"> SEQ Tab. \* ARABIC </w:instrText>
      </w:r>
      <w:r>
        <w:fldChar w:fldCharType="separate"/>
      </w:r>
      <w:r w:rsidR="00A86720">
        <w:rPr>
          <w:noProof/>
        </w:rPr>
        <w:t>11</w:t>
      </w:r>
      <w:r>
        <w:fldChar w:fldCharType="end"/>
      </w:r>
      <w:r>
        <w:t xml:space="preserve"> - Nákladová výnosnosť mýtnych systémov v krajinách strednej Európy</w:t>
      </w:r>
    </w:p>
    <w:tbl>
      <w:tblPr>
        <w:tblW w:w="910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02"/>
        <w:gridCol w:w="1860"/>
        <w:gridCol w:w="1940"/>
        <w:gridCol w:w="1900"/>
      </w:tblGrid>
      <w:tr w:rsidR="00716930" w:rsidRPr="000E4BB0" w14:paraId="5071BD61" w14:textId="77777777" w:rsidTr="00A40297">
        <w:trPr>
          <w:trHeight w:val="510"/>
        </w:trPr>
        <w:tc>
          <w:tcPr>
            <w:tcW w:w="3402" w:type="dxa"/>
            <w:shd w:val="clear" w:color="000000" w:fill="BDD7EE"/>
            <w:noWrap/>
            <w:vAlign w:val="center"/>
            <w:hideMark/>
          </w:tcPr>
          <w:p w14:paraId="030B98D3" w14:textId="77777777" w:rsidR="00716930" w:rsidRPr="000E4BB0" w:rsidRDefault="00716930" w:rsidP="001F20DC">
            <w:pPr>
              <w:spacing w:before="0" w:after="0" w:line="240" w:lineRule="auto"/>
              <w:jc w:val="center"/>
              <w:rPr>
                <w:rFonts w:ascii="Calibri" w:hAnsi="Calibri"/>
                <w:color w:val="000000"/>
                <w:szCs w:val="20"/>
              </w:rPr>
            </w:pPr>
            <w:r>
              <w:rPr>
                <w:rFonts w:ascii="Calibri" w:hAnsi="Calibri"/>
                <w:color w:val="000000"/>
                <w:szCs w:val="20"/>
              </w:rPr>
              <w:t>Nákladová výnosnosť</w:t>
            </w:r>
          </w:p>
        </w:tc>
        <w:tc>
          <w:tcPr>
            <w:tcW w:w="1860" w:type="dxa"/>
            <w:shd w:val="clear" w:color="000000" w:fill="BDD7EE"/>
            <w:vAlign w:val="center"/>
            <w:hideMark/>
          </w:tcPr>
          <w:p w14:paraId="6EF283D5" w14:textId="4B0ACA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 xml:space="preserve">Základný scenár: </w:t>
            </w:r>
            <w:r w:rsidRPr="000E4BB0">
              <w:rPr>
                <w:rFonts w:ascii="Calibri" w:hAnsi="Calibri"/>
                <w:color w:val="000000"/>
                <w:szCs w:val="20"/>
              </w:rPr>
              <w:br/>
              <w:t>1</w:t>
            </w:r>
            <w:r w:rsidR="0086447F">
              <w:rPr>
                <w:rFonts w:ascii="Calibri" w:hAnsi="Calibri"/>
                <w:color w:val="000000"/>
                <w:szCs w:val="20"/>
              </w:rPr>
              <w:t>.</w:t>
            </w:r>
            <w:r w:rsidRPr="000E4BB0">
              <w:rPr>
                <w:rFonts w:ascii="Calibri" w:hAnsi="Calibri"/>
                <w:color w:val="000000"/>
                <w:szCs w:val="20"/>
              </w:rPr>
              <w:t xml:space="preserve"> až 9</w:t>
            </w:r>
            <w:r w:rsidR="0086447F">
              <w:rPr>
                <w:rFonts w:ascii="Calibri" w:hAnsi="Calibri"/>
                <w:color w:val="000000"/>
                <w:szCs w:val="20"/>
              </w:rPr>
              <w:t>.</w:t>
            </w:r>
            <w:r w:rsidRPr="000E4BB0">
              <w:rPr>
                <w:rFonts w:ascii="Calibri" w:hAnsi="Calibri"/>
                <w:color w:val="000000"/>
                <w:szCs w:val="20"/>
              </w:rPr>
              <w:t xml:space="preserve"> rok prevádzky</w:t>
            </w:r>
          </w:p>
        </w:tc>
        <w:tc>
          <w:tcPr>
            <w:tcW w:w="1940" w:type="dxa"/>
            <w:shd w:val="clear" w:color="000000" w:fill="BDD7EE"/>
            <w:vAlign w:val="center"/>
            <w:hideMark/>
          </w:tcPr>
          <w:p w14:paraId="68B87086" w14:textId="08EE844A"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 xml:space="preserve">Subscenár A: </w:t>
            </w:r>
            <w:r w:rsidRPr="000E4BB0">
              <w:rPr>
                <w:rFonts w:ascii="Calibri" w:hAnsi="Calibri"/>
                <w:color w:val="000000"/>
                <w:szCs w:val="20"/>
              </w:rPr>
              <w:br/>
              <w:t>1</w:t>
            </w:r>
            <w:r w:rsidR="0086447F">
              <w:rPr>
                <w:rFonts w:ascii="Calibri" w:hAnsi="Calibri"/>
                <w:color w:val="000000"/>
                <w:szCs w:val="20"/>
              </w:rPr>
              <w:t>.</w:t>
            </w:r>
            <w:r w:rsidRPr="000E4BB0">
              <w:rPr>
                <w:rFonts w:ascii="Calibri" w:hAnsi="Calibri"/>
                <w:color w:val="000000"/>
                <w:szCs w:val="20"/>
              </w:rPr>
              <w:t xml:space="preserve"> až 5</w:t>
            </w:r>
            <w:r w:rsidR="0086447F">
              <w:rPr>
                <w:rFonts w:ascii="Calibri" w:hAnsi="Calibri"/>
                <w:color w:val="000000"/>
                <w:szCs w:val="20"/>
              </w:rPr>
              <w:t>.</w:t>
            </w:r>
            <w:r w:rsidRPr="000E4BB0">
              <w:rPr>
                <w:rFonts w:ascii="Calibri" w:hAnsi="Calibri"/>
                <w:color w:val="000000"/>
                <w:szCs w:val="20"/>
              </w:rPr>
              <w:t xml:space="preserve"> rok prevádzky</w:t>
            </w:r>
          </w:p>
        </w:tc>
        <w:tc>
          <w:tcPr>
            <w:tcW w:w="1900" w:type="dxa"/>
            <w:shd w:val="clear" w:color="000000" w:fill="BDD7EE"/>
            <w:vAlign w:val="center"/>
            <w:hideMark/>
          </w:tcPr>
          <w:p w14:paraId="06C1B60D" w14:textId="285BE60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 xml:space="preserve">Subscenár B: </w:t>
            </w:r>
            <w:r w:rsidRPr="000E4BB0">
              <w:rPr>
                <w:rFonts w:ascii="Calibri" w:hAnsi="Calibri"/>
                <w:color w:val="000000"/>
                <w:szCs w:val="20"/>
              </w:rPr>
              <w:br/>
              <w:t>6</w:t>
            </w:r>
            <w:r w:rsidR="0086447F">
              <w:rPr>
                <w:rFonts w:ascii="Calibri" w:hAnsi="Calibri"/>
                <w:color w:val="000000"/>
                <w:szCs w:val="20"/>
              </w:rPr>
              <w:t>.</w:t>
            </w:r>
            <w:r w:rsidRPr="000E4BB0">
              <w:rPr>
                <w:rFonts w:ascii="Calibri" w:hAnsi="Calibri"/>
                <w:color w:val="000000"/>
                <w:szCs w:val="20"/>
              </w:rPr>
              <w:t xml:space="preserve"> až 9</w:t>
            </w:r>
            <w:r w:rsidR="0086447F">
              <w:rPr>
                <w:rFonts w:ascii="Calibri" w:hAnsi="Calibri"/>
                <w:color w:val="000000"/>
                <w:szCs w:val="20"/>
              </w:rPr>
              <w:t>.</w:t>
            </w:r>
            <w:r w:rsidRPr="000E4BB0">
              <w:rPr>
                <w:rFonts w:ascii="Calibri" w:hAnsi="Calibri"/>
                <w:color w:val="000000"/>
                <w:szCs w:val="20"/>
              </w:rPr>
              <w:t xml:space="preserve"> rok prevádzky</w:t>
            </w:r>
          </w:p>
        </w:tc>
      </w:tr>
      <w:tr w:rsidR="00716930" w:rsidRPr="000E4BB0" w14:paraId="741443BB" w14:textId="77777777" w:rsidTr="00A40297">
        <w:trPr>
          <w:trHeight w:val="255"/>
        </w:trPr>
        <w:tc>
          <w:tcPr>
            <w:tcW w:w="3402" w:type="dxa"/>
            <w:shd w:val="clear" w:color="000000" w:fill="DDEBF7"/>
            <w:noWrap/>
            <w:vAlign w:val="bottom"/>
            <w:hideMark/>
          </w:tcPr>
          <w:p w14:paraId="367B15F8" w14:textId="77777777" w:rsidR="00716930" w:rsidRPr="000E4BB0" w:rsidRDefault="00716930" w:rsidP="001F20DC">
            <w:pPr>
              <w:spacing w:before="0" w:after="0" w:line="240" w:lineRule="auto"/>
              <w:jc w:val="left"/>
              <w:rPr>
                <w:rFonts w:ascii="Calibri" w:hAnsi="Calibri"/>
                <w:color w:val="000000"/>
                <w:szCs w:val="20"/>
              </w:rPr>
            </w:pPr>
            <w:r w:rsidRPr="000E4BB0">
              <w:rPr>
                <w:rFonts w:ascii="Calibri" w:hAnsi="Calibri"/>
                <w:color w:val="000000"/>
                <w:szCs w:val="20"/>
              </w:rPr>
              <w:t>Nemecko</w:t>
            </w:r>
          </w:p>
        </w:tc>
        <w:tc>
          <w:tcPr>
            <w:tcW w:w="1860" w:type="dxa"/>
            <w:shd w:val="clear" w:color="auto" w:fill="auto"/>
            <w:noWrap/>
            <w:vAlign w:val="bottom"/>
            <w:hideMark/>
          </w:tcPr>
          <w:p w14:paraId="2B069BDE"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15,05%</w:t>
            </w:r>
          </w:p>
        </w:tc>
        <w:tc>
          <w:tcPr>
            <w:tcW w:w="1940" w:type="dxa"/>
            <w:shd w:val="clear" w:color="auto" w:fill="auto"/>
            <w:noWrap/>
            <w:vAlign w:val="bottom"/>
            <w:hideMark/>
          </w:tcPr>
          <w:p w14:paraId="37966625"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17,43%</w:t>
            </w:r>
          </w:p>
        </w:tc>
        <w:tc>
          <w:tcPr>
            <w:tcW w:w="1900" w:type="dxa"/>
            <w:shd w:val="clear" w:color="auto" w:fill="auto"/>
            <w:noWrap/>
            <w:vAlign w:val="bottom"/>
            <w:hideMark/>
          </w:tcPr>
          <w:p w14:paraId="1FD972C2"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12,16%</w:t>
            </w:r>
          </w:p>
        </w:tc>
      </w:tr>
      <w:tr w:rsidR="00716930" w:rsidRPr="000E4BB0" w14:paraId="63292999" w14:textId="77777777" w:rsidTr="00A40297">
        <w:trPr>
          <w:trHeight w:val="255"/>
        </w:trPr>
        <w:tc>
          <w:tcPr>
            <w:tcW w:w="3402" w:type="dxa"/>
            <w:shd w:val="clear" w:color="000000" w:fill="DDEBF7"/>
            <w:noWrap/>
            <w:vAlign w:val="bottom"/>
            <w:hideMark/>
          </w:tcPr>
          <w:p w14:paraId="4877532C" w14:textId="77777777" w:rsidR="00716930" w:rsidRPr="000E4BB0" w:rsidRDefault="00716930" w:rsidP="001F20DC">
            <w:pPr>
              <w:spacing w:before="0" w:after="0" w:line="240" w:lineRule="auto"/>
              <w:jc w:val="left"/>
              <w:rPr>
                <w:rFonts w:ascii="Calibri" w:hAnsi="Calibri"/>
                <w:color w:val="000000"/>
                <w:szCs w:val="20"/>
              </w:rPr>
            </w:pPr>
            <w:r w:rsidRPr="000E4BB0">
              <w:rPr>
                <w:rFonts w:ascii="Calibri" w:hAnsi="Calibri"/>
                <w:color w:val="000000"/>
                <w:szCs w:val="20"/>
              </w:rPr>
              <w:t>Česko</w:t>
            </w:r>
          </w:p>
        </w:tc>
        <w:tc>
          <w:tcPr>
            <w:tcW w:w="1860" w:type="dxa"/>
            <w:shd w:val="clear" w:color="auto" w:fill="auto"/>
            <w:noWrap/>
            <w:vAlign w:val="bottom"/>
            <w:hideMark/>
          </w:tcPr>
          <w:p w14:paraId="24BE8ABD"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36,49%</w:t>
            </w:r>
          </w:p>
        </w:tc>
        <w:tc>
          <w:tcPr>
            <w:tcW w:w="1940" w:type="dxa"/>
            <w:shd w:val="clear" w:color="auto" w:fill="auto"/>
            <w:noWrap/>
            <w:vAlign w:val="bottom"/>
            <w:hideMark/>
          </w:tcPr>
          <w:p w14:paraId="3CDD40A3"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50,08%</w:t>
            </w:r>
          </w:p>
        </w:tc>
        <w:tc>
          <w:tcPr>
            <w:tcW w:w="1900" w:type="dxa"/>
            <w:shd w:val="clear" w:color="auto" w:fill="auto"/>
            <w:noWrap/>
            <w:vAlign w:val="bottom"/>
            <w:hideMark/>
          </w:tcPr>
          <w:p w14:paraId="0F058E1A"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22,06%</w:t>
            </w:r>
          </w:p>
        </w:tc>
      </w:tr>
      <w:tr w:rsidR="00716930" w:rsidRPr="000E4BB0" w14:paraId="24FD2722" w14:textId="77777777" w:rsidTr="00A40297">
        <w:trPr>
          <w:trHeight w:val="255"/>
        </w:trPr>
        <w:tc>
          <w:tcPr>
            <w:tcW w:w="3402" w:type="dxa"/>
            <w:shd w:val="clear" w:color="000000" w:fill="DDEBF7"/>
            <w:noWrap/>
            <w:vAlign w:val="bottom"/>
            <w:hideMark/>
          </w:tcPr>
          <w:p w14:paraId="3D2DCE97" w14:textId="77777777" w:rsidR="00716930" w:rsidRPr="000E4BB0" w:rsidRDefault="00716930" w:rsidP="001F20DC">
            <w:pPr>
              <w:spacing w:before="0" w:after="0" w:line="240" w:lineRule="auto"/>
              <w:jc w:val="left"/>
              <w:rPr>
                <w:rFonts w:ascii="Calibri" w:hAnsi="Calibri"/>
                <w:color w:val="000000"/>
                <w:szCs w:val="20"/>
              </w:rPr>
            </w:pPr>
            <w:r w:rsidRPr="000E4BB0">
              <w:rPr>
                <w:rFonts w:ascii="Calibri" w:hAnsi="Calibri"/>
                <w:color w:val="000000"/>
                <w:szCs w:val="20"/>
              </w:rPr>
              <w:t>Rakúsko</w:t>
            </w:r>
          </w:p>
        </w:tc>
        <w:tc>
          <w:tcPr>
            <w:tcW w:w="1860" w:type="dxa"/>
            <w:shd w:val="clear" w:color="auto" w:fill="auto"/>
            <w:noWrap/>
            <w:vAlign w:val="bottom"/>
            <w:hideMark/>
          </w:tcPr>
          <w:p w14:paraId="215B41F0"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12,00%</w:t>
            </w:r>
          </w:p>
        </w:tc>
        <w:tc>
          <w:tcPr>
            <w:tcW w:w="1940" w:type="dxa"/>
            <w:shd w:val="clear" w:color="auto" w:fill="auto"/>
            <w:noWrap/>
            <w:vAlign w:val="bottom"/>
            <w:hideMark/>
          </w:tcPr>
          <w:p w14:paraId="44FD47D0"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12,00%</w:t>
            </w:r>
          </w:p>
        </w:tc>
        <w:tc>
          <w:tcPr>
            <w:tcW w:w="1900" w:type="dxa"/>
            <w:shd w:val="clear" w:color="auto" w:fill="auto"/>
            <w:noWrap/>
            <w:vAlign w:val="bottom"/>
            <w:hideMark/>
          </w:tcPr>
          <w:p w14:paraId="43B8D62C"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12,00%</w:t>
            </w:r>
          </w:p>
        </w:tc>
      </w:tr>
      <w:tr w:rsidR="00716930" w:rsidRPr="000E4BB0" w14:paraId="50F3DE32" w14:textId="77777777" w:rsidTr="00A40297">
        <w:trPr>
          <w:trHeight w:val="255"/>
        </w:trPr>
        <w:tc>
          <w:tcPr>
            <w:tcW w:w="3402" w:type="dxa"/>
            <w:shd w:val="clear" w:color="000000" w:fill="DDEBF7"/>
            <w:noWrap/>
            <w:vAlign w:val="bottom"/>
            <w:hideMark/>
          </w:tcPr>
          <w:p w14:paraId="1ED31254" w14:textId="77777777" w:rsidR="00716930" w:rsidRPr="000E4BB0" w:rsidRDefault="00716930" w:rsidP="001F20DC">
            <w:pPr>
              <w:spacing w:before="0" w:after="0" w:line="240" w:lineRule="auto"/>
              <w:jc w:val="left"/>
              <w:rPr>
                <w:rFonts w:ascii="Calibri" w:hAnsi="Calibri"/>
                <w:color w:val="000000"/>
                <w:szCs w:val="20"/>
              </w:rPr>
            </w:pPr>
            <w:r w:rsidRPr="000E4BB0">
              <w:rPr>
                <w:rFonts w:ascii="Calibri" w:hAnsi="Calibri"/>
                <w:color w:val="000000"/>
                <w:szCs w:val="20"/>
              </w:rPr>
              <w:t>Poľsko</w:t>
            </w:r>
          </w:p>
        </w:tc>
        <w:tc>
          <w:tcPr>
            <w:tcW w:w="1860" w:type="dxa"/>
            <w:shd w:val="clear" w:color="auto" w:fill="auto"/>
            <w:noWrap/>
            <w:vAlign w:val="bottom"/>
            <w:hideMark/>
          </w:tcPr>
          <w:p w14:paraId="2272E53A"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58,14%</w:t>
            </w:r>
          </w:p>
        </w:tc>
        <w:tc>
          <w:tcPr>
            <w:tcW w:w="1940" w:type="dxa"/>
            <w:shd w:val="clear" w:color="auto" w:fill="auto"/>
            <w:noWrap/>
            <w:vAlign w:val="bottom"/>
            <w:hideMark/>
          </w:tcPr>
          <w:p w14:paraId="2CD0AB34"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78,24%</w:t>
            </w:r>
          </w:p>
        </w:tc>
        <w:tc>
          <w:tcPr>
            <w:tcW w:w="1900" w:type="dxa"/>
            <w:shd w:val="clear" w:color="auto" w:fill="auto"/>
            <w:noWrap/>
            <w:vAlign w:val="bottom"/>
            <w:hideMark/>
          </w:tcPr>
          <w:p w14:paraId="5C44A828" w14:textId="77777777"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25,08%</w:t>
            </w:r>
          </w:p>
        </w:tc>
      </w:tr>
    </w:tbl>
    <w:p w14:paraId="36A011EF" w14:textId="68727622" w:rsidR="00716930" w:rsidRPr="000E4BB0" w:rsidRDefault="00716930" w:rsidP="00716930">
      <w:pPr>
        <w:rPr>
          <w:i/>
          <w:sz w:val="16"/>
        </w:rPr>
      </w:pPr>
      <w:r w:rsidRPr="000E4BB0">
        <w:rPr>
          <w:i/>
          <w:sz w:val="16"/>
        </w:rPr>
        <w:t xml:space="preserve">Zdroj: Štúdia VÚD, kap. 2.2 (obr. 2-12) </w:t>
      </w:r>
    </w:p>
    <w:p w14:paraId="61AF4EC6" w14:textId="77777777" w:rsidR="00366F12" w:rsidRDefault="00366F12" w:rsidP="00716930"/>
    <w:p w14:paraId="35DCDBA3" w14:textId="0357FDC6" w:rsidR="00716930" w:rsidRDefault="00EA513D" w:rsidP="00716930">
      <w:r>
        <w:t>Ako referenčnú hodnotu</w:t>
      </w:r>
      <w:r w:rsidR="00716930">
        <w:t xml:space="preserve"> percentuálnej sadzby odmeny bude vhodné použiť priemer z hodnôt nákladovej výnosnosti v jednotlivých krajinách. Z údajov je zrejmé, že krajiny z kratšou dĺžkou spoplatnených ciest a teda s nižším ročným výberom mýta (Česko, Poľsko) vykazujú horšie parametre nákladovej výnosnosti. Na elimináciu tohto vplyvu bude vhodnejšie použiť vážený priemer ukazovateľa nákladovej výnosnosti, pričom váha bude určená podľa priemerných ročných výnosov z výberu mýta v danej krajine. Údaje o priemerných ročných výnosoch z výberu mýta sú v tabuľke nižšie.</w:t>
      </w:r>
    </w:p>
    <w:p w14:paraId="02752337" w14:textId="0A3814DD" w:rsidR="00716930" w:rsidRDefault="00716930" w:rsidP="00FA6605">
      <w:pPr>
        <w:pStyle w:val="Caption"/>
      </w:pPr>
      <w:r>
        <w:lastRenderedPageBreak/>
        <w:t xml:space="preserve">Tab. </w:t>
      </w:r>
      <w:r>
        <w:fldChar w:fldCharType="begin"/>
      </w:r>
      <w:r>
        <w:instrText xml:space="preserve"> SEQ Tab. \* ARABIC </w:instrText>
      </w:r>
      <w:r>
        <w:fldChar w:fldCharType="separate"/>
      </w:r>
      <w:r w:rsidR="00A86720">
        <w:rPr>
          <w:noProof/>
        </w:rPr>
        <w:t>12</w:t>
      </w:r>
      <w:r>
        <w:fldChar w:fldCharType="end"/>
      </w:r>
      <w:r>
        <w:t xml:space="preserve"> - Priemerné ročné výnosy z výberu mýta</w:t>
      </w:r>
    </w:p>
    <w:tbl>
      <w:tblPr>
        <w:tblW w:w="910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02"/>
        <w:gridCol w:w="1860"/>
        <w:gridCol w:w="1940"/>
        <w:gridCol w:w="1900"/>
      </w:tblGrid>
      <w:tr w:rsidR="00716930" w:rsidRPr="00F84F66" w14:paraId="1A0FE12C" w14:textId="77777777" w:rsidTr="00A40297">
        <w:trPr>
          <w:trHeight w:val="510"/>
        </w:trPr>
        <w:tc>
          <w:tcPr>
            <w:tcW w:w="3402" w:type="dxa"/>
            <w:shd w:val="clear" w:color="000000" w:fill="BDD7EE"/>
            <w:noWrap/>
            <w:vAlign w:val="center"/>
            <w:hideMark/>
          </w:tcPr>
          <w:p w14:paraId="62D4A070"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Priemerné ročné výnosy</w:t>
            </w:r>
            <w:r>
              <w:rPr>
                <w:rFonts w:ascii="Calibri" w:hAnsi="Calibri"/>
                <w:color w:val="000000"/>
                <w:szCs w:val="20"/>
              </w:rPr>
              <w:t xml:space="preserve"> z výberu mýta, údaje</w:t>
            </w:r>
            <w:r w:rsidRPr="00F84F66">
              <w:rPr>
                <w:rFonts w:ascii="Calibri" w:hAnsi="Calibri"/>
                <w:color w:val="000000"/>
                <w:szCs w:val="20"/>
              </w:rPr>
              <w:t xml:space="preserve"> v mil. EUR</w:t>
            </w:r>
          </w:p>
        </w:tc>
        <w:tc>
          <w:tcPr>
            <w:tcW w:w="1860" w:type="dxa"/>
            <w:shd w:val="clear" w:color="000000" w:fill="BDD7EE"/>
            <w:vAlign w:val="center"/>
            <w:hideMark/>
          </w:tcPr>
          <w:p w14:paraId="121BD005" w14:textId="638C9C48"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 xml:space="preserve">Základný scenár: </w:t>
            </w:r>
            <w:r w:rsidRPr="00F84F66">
              <w:rPr>
                <w:rFonts w:ascii="Calibri" w:hAnsi="Calibri"/>
                <w:color w:val="000000"/>
                <w:szCs w:val="20"/>
              </w:rPr>
              <w:br/>
              <w:t>1</w:t>
            </w:r>
            <w:r w:rsidR="0086447F">
              <w:rPr>
                <w:rFonts w:ascii="Calibri" w:hAnsi="Calibri"/>
                <w:color w:val="000000"/>
                <w:szCs w:val="20"/>
              </w:rPr>
              <w:t>.</w:t>
            </w:r>
            <w:r w:rsidRPr="00F84F66">
              <w:rPr>
                <w:rFonts w:ascii="Calibri" w:hAnsi="Calibri"/>
                <w:color w:val="000000"/>
                <w:szCs w:val="20"/>
              </w:rPr>
              <w:t xml:space="preserve"> až 9</w:t>
            </w:r>
            <w:r w:rsidR="0086447F">
              <w:rPr>
                <w:rFonts w:ascii="Calibri" w:hAnsi="Calibri"/>
                <w:color w:val="000000"/>
                <w:szCs w:val="20"/>
              </w:rPr>
              <w:t>.</w:t>
            </w:r>
            <w:r w:rsidRPr="00F84F66">
              <w:rPr>
                <w:rFonts w:ascii="Calibri" w:hAnsi="Calibri"/>
                <w:color w:val="000000"/>
                <w:szCs w:val="20"/>
              </w:rPr>
              <w:t xml:space="preserve"> rok prevádzky</w:t>
            </w:r>
          </w:p>
        </w:tc>
        <w:tc>
          <w:tcPr>
            <w:tcW w:w="1940" w:type="dxa"/>
            <w:shd w:val="clear" w:color="000000" w:fill="BDD7EE"/>
            <w:vAlign w:val="center"/>
            <w:hideMark/>
          </w:tcPr>
          <w:p w14:paraId="50080670" w14:textId="2AF344FC"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 xml:space="preserve">Subscenár A: </w:t>
            </w:r>
            <w:r w:rsidRPr="00F84F66">
              <w:rPr>
                <w:rFonts w:ascii="Calibri" w:hAnsi="Calibri"/>
                <w:color w:val="000000"/>
                <w:szCs w:val="20"/>
              </w:rPr>
              <w:br/>
              <w:t>1</w:t>
            </w:r>
            <w:r w:rsidR="0086447F">
              <w:rPr>
                <w:rFonts w:ascii="Calibri" w:hAnsi="Calibri"/>
                <w:color w:val="000000"/>
                <w:szCs w:val="20"/>
              </w:rPr>
              <w:t>.</w:t>
            </w:r>
            <w:r w:rsidRPr="00F84F66">
              <w:rPr>
                <w:rFonts w:ascii="Calibri" w:hAnsi="Calibri"/>
                <w:color w:val="000000"/>
                <w:szCs w:val="20"/>
              </w:rPr>
              <w:t xml:space="preserve"> až 5</w:t>
            </w:r>
            <w:r w:rsidR="0086447F">
              <w:rPr>
                <w:rFonts w:ascii="Calibri" w:hAnsi="Calibri"/>
                <w:color w:val="000000"/>
                <w:szCs w:val="20"/>
              </w:rPr>
              <w:t>.</w:t>
            </w:r>
            <w:r w:rsidRPr="00F84F66">
              <w:rPr>
                <w:rFonts w:ascii="Calibri" w:hAnsi="Calibri"/>
                <w:color w:val="000000"/>
                <w:szCs w:val="20"/>
              </w:rPr>
              <w:t xml:space="preserve"> rok prevádzky</w:t>
            </w:r>
          </w:p>
        </w:tc>
        <w:tc>
          <w:tcPr>
            <w:tcW w:w="1900" w:type="dxa"/>
            <w:shd w:val="clear" w:color="000000" w:fill="BDD7EE"/>
            <w:vAlign w:val="center"/>
            <w:hideMark/>
          </w:tcPr>
          <w:p w14:paraId="5EEBE07C" w14:textId="0B6AD96A"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 xml:space="preserve">Subscenár B: </w:t>
            </w:r>
            <w:r w:rsidRPr="00F84F66">
              <w:rPr>
                <w:rFonts w:ascii="Calibri" w:hAnsi="Calibri"/>
                <w:color w:val="000000"/>
                <w:szCs w:val="20"/>
              </w:rPr>
              <w:br/>
              <w:t>6</w:t>
            </w:r>
            <w:r w:rsidR="0086447F">
              <w:rPr>
                <w:rFonts w:ascii="Calibri" w:hAnsi="Calibri"/>
                <w:color w:val="000000"/>
                <w:szCs w:val="20"/>
              </w:rPr>
              <w:t>.</w:t>
            </w:r>
            <w:r w:rsidRPr="00F84F66">
              <w:rPr>
                <w:rFonts w:ascii="Calibri" w:hAnsi="Calibri"/>
                <w:color w:val="000000"/>
                <w:szCs w:val="20"/>
              </w:rPr>
              <w:t xml:space="preserve"> až 9</w:t>
            </w:r>
            <w:r w:rsidR="0086447F">
              <w:rPr>
                <w:rFonts w:ascii="Calibri" w:hAnsi="Calibri"/>
                <w:color w:val="000000"/>
                <w:szCs w:val="20"/>
              </w:rPr>
              <w:t>.</w:t>
            </w:r>
            <w:r w:rsidRPr="00F84F66">
              <w:rPr>
                <w:rFonts w:ascii="Calibri" w:hAnsi="Calibri"/>
                <w:color w:val="000000"/>
                <w:szCs w:val="20"/>
              </w:rPr>
              <w:t xml:space="preserve"> rok prevádzky</w:t>
            </w:r>
          </w:p>
        </w:tc>
      </w:tr>
      <w:tr w:rsidR="00716930" w:rsidRPr="00F84F66" w14:paraId="4AF56038" w14:textId="77777777" w:rsidTr="00A40297">
        <w:trPr>
          <w:trHeight w:val="255"/>
        </w:trPr>
        <w:tc>
          <w:tcPr>
            <w:tcW w:w="3402" w:type="dxa"/>
            <w:shd w:val="clear" w:color="000000" w:fill="DDEBF7"/>
            <w:noWrap/>
            <w:vAlign w:val="bottom"/>
            <w:hideMark/>
          </w:tcPr>
          <w:p w14:paraId="6E3E0C94" w14:textId="77777777" w:rsidR="00716930" w:rsidRPr="00F84F66" w:rsidRDefault="00716930" w:rsidP="001F20DC">
            <w:pPr>
              <w:spacing w:before="0" w:after="0" w:line="240" w:lineRule="auto"/>
              <w:jc w:val="left"/>
              <w:rPr>
                <w:rFonts w:ascii="Calibri" w:hAnsi="Calibri"/>
                <w:color w:val="000000"/>
                <w:szCs w:val="20"/>
              </w:rPr>
            </w:pPr>
            <w:r w:rsidRPr="00F84F66">
              <w:rPr>
                <w:rFonts w:ascii="Calibri" w:hAnsi="Calibri"/>
                <w:color w:val="000000"/>
                <w:szCs w:val="20"/>
              </w:rPr>
              <w:t>Nemecko</w:t>
            </w:r>
          </w:p>
        </w:tc>
        <w:tc>
          <w:tcPr>
            <w:tcW w:w="1860" w:type="dxa"/>
            <w:shd w:val="clear" w:color="auto" w:fill="auto"/>
            <w:noWrap/>
            <w:vAlign w:val="bottom"/>
            <w:hideMark/>
          </w:tcPr>
          <w:p w14:paraId="5D75816D"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3 834</w:t>
            </w:r>
          </w:p>
        </w:tc>
        <w:tc>
          <w:tcPr>
            <w:tcW w:w="1940" w:type="dxa"/>
            <w:shd w:val="clear" w:color="auto" w:fill="auto"/>
            <w:noWrap/>
            <w:vAlign w:val="bottom"/>
            <w:hideMark/>
          </w:tcPr>
          <w:p w14:paraId="7FF30F95"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3 354</w:t>
            </w:r>
          </w:p>
        </w:tc>
        <w:tc>
          <w:tcPr>
            <w:tcW w:w="1900" w:type="dxa"/>
            <w:shd w:val="clear" w:color="auto" w:fill="auto"/>
            <w:noWrap/>
            <w:vAlign w:val="bottom"/>
            <w:hideMark/>
          </w:tcPr>
          <w:p w14:paraId="2AA9B0EE"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4 414</w:t>
            </w:r>
          </w:p>
        </w:tc>
      </w:tr>
      <w:tr w:rsidR="00716930" w:rsidRPr="00F84F66" w14:paraId="5249215D" w14:textId="77777777" w:rsidTr="00A40297">
        <w:trPr>
          <w:trHeight w:val="255"/>
        </w:trPr>
        <w:tc>
          <w:tcPr>
            <w:tcW w:w="3402" w:type="dxa"/>
            <w:shd w:val="clear" w:color="000000" w:fill="DDEBF7"/>
            <w:noWrap/>
            <w:vAlign w:val="bottom"/>
            <w:hideMark/>
          </w:tcPr>
          <w:p w14:paraId="4279224E" w14:textId="77777777" w:rsidR="00716930" w:rsidRPr="00F84F66" w:rsidRDefault="00716930" w:rsidP="001F20DC">
            <w:pPr>
              <w:spacing w:before="0" w:after="0" w:line="240" w:lineRule="auto"/>
              <w:jc w:val="left"/>
              <w:rPr>
                <w:rFonts w:ascii="Calibri" w:hAnsi="Calibri"/>
                <w:color w:val="000000"/>
                <w:szCs w:val="20"/>
              </w:rPr>
            </w:pPr>
            <w:r w:rsidRPr="00F84F66">
              <w:rPr>
                <w:rFonts w:ascii="Calibri" w:hAnsi="Calibri"/>
                <w:color w:val="000000"/>
                <w:szCs w:val="20"/>
              </w:rPr>
              <w:t>Česko</w:t>
            </w:r>
          </w:p>
        </w:tc>
        <w:tc>
          <w:tcPr>
            <w:tcW w:w="1860" w:type="dxa"/>
            <w:shd w:val="clear" w:color="auto" w:fill="auto"/>
            <w:noWrap/>
            <w:vAlign w:val="bottom"/>
            <w:hideMark/>
          </w:tcPr>
          <w:p w14:paraId="3C25DBA2"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288</w:t>
            </w:r>
          </w:p>
        </w:tc>
        <w:tc>
          <w:tcPr>
            <w:tcW w:w="1940" w:type="dxa"/>
            <w:shd w:val="clear" w:color="auto" w:fill="auto"/>
            <w:noWrap/>
            <w:vAlign w:val="bottom"/>
            <w:hideMark/>
          </w:tcPr>
          <w:p w14:paraId="1367B2C4"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249</w:t>
            </w:r>
          </w:p>
        </w:tc>
        <w:tc>
          <w:tcPr>
            <w:tcW w:w="1900" w:type="dxa"/>
            <w:shd w:val="clear" w:color="auto" w:fill="auto"/>
            <w:noWrap/>
            <w:vAlign w:val="bottom"/>
            <w:hideMark/>
          </w:tcPr>
          <w:p w14:paraId="0C41C5AC"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336</w:t>
            </w:r>
          </w:p>
        </w:tc>
      </w:tr>
      <w:tr w:rsidR="00716930" w:rsidRPr="00F84F66" w14:paraId="27ABE7ED" w14:textId="77777777" w:rsidTr="00A40297">
        <w:trPr>
          <w:trHeight w:val="255"/>
        </w:trPr>
        <w:tc>
          <w:tcPr>
            <w:tcW w:w="3402" w:type="dxa"/>
            <w:shd w:val="clear" w:color="000000" w:fill="DDEBF7"/>
            <w:noWrap/>
            <w:vAlign w:val="bottom"/>
            <w:hideMark/>
          </w:tcPr>
          <w:p w14:paraId="5A91CA5F" w14:textId="77777777" w:rsidR="00716930" w:rsidRPr="00F84F66" w:rsidRDefault="00716930" w:rsidP="001F20DC">
            <w:pPr>
              <w:spacing w:before="0" w:after="0" w:line="240" w:lineRule="auto"/>
              <w:jc w:val="left"/>
              <w:rPr>
                <w:rFonts w:ascii="Calibri" w:hAnsi="Calibri"/>
                <w:color w:val="000000"/>
                <w:szCs w:val="20"/>
              </w:rPr>
            </w:pPr>
            <w:r w:rsidRPr="00F84F66">
              <w:rPr>
                <w:rFonts w:ascii="Calibri" w:hAnsi="Calibri"/>
                <w:color w:val="000000"/>
                <w:szCs w:val="20"/>
              </w:rPr>
              <w:t>Rakúsko</w:t>
            </w:r>
          </w:p>
        </w:tc>
        <w:tc>
          <w:tcPr>
            <w:tcW w:w="1860" w:type="dxa"/>
            <w:shd w:val="clear" w:color="auto" w:fill="auto"/>
            <w:noWrap/>
            <w:vAlign w:val="bottom"/>
            <w:hideMark/>
          </w:tcPr>
          <w:p w14:paraId="260D7355"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954</w:t>
            </w:r>
          </w:p>
        </w:tc>
        <w:tc>
          <w:tcPr>
            <w:tcW w:w="1940" w:type="dxa"/>
            <w:shd w:val="clear" w:color="auto" w:fill="auto"/>
            <w:noWrap/>
            <w:vAlign w:val="bottom"/>
            <w:hideMark/>
          </w:tcPr>
          <w:p w14:paraId="6D0E4F08"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893</w:t>
            </w:r>
          </w:p>
        </w:tc>
        <w:tc>
          <w:tcPr>
            <w:tcW w:w="1900" w:type="dxa"/>
            <w:shd w:val="clear" w:color="auto" w:fill="auto"/>
            <w:noWrap/>
            <w:vAlign w:val="bottom"/>
            <w:hideMark/>
          </w:tcPr>
          <w:p w14:paraId="58FAC6DD"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1 037</w:t>
            </w:r>
          </w:p>
        </w:tc>
      </w:tr>
      <w:tr w:rsidR="00716930" w:rsidRPr="00F84F66" w14:paraId="27D5C663" w14:textId="77777777" w:rsidTr="00A40297">
        <w:trPr>
          <w:trHeight w:val="255"/>
        </w:trPr>
        <w:tc>
          <w:tcPr>
            <w:tcW w:w="3402" w:type="dxa"/>
            <w:shd w:val="clear" w:color="000000" w:fill="DDEBF7"/>
            <w:noWrap/>
            <w:vAlign w:val="bottom"/>
            <w:hideMark/>
          </w:tcPr>
          <w:p w14:paraId="08ED2832" w14:textId="77777777" w:rsidR="00716930" w:rsidRPr="00F84F66" w:rsidRDefault="00716930" w:rsidP="001F20DC">
            <w:pPr>
              <w:spacing w:before="0" w:after="0" w:line="240" w:lineRule="auto"/>
              <w:jc w:val="left"/>
              <w:rPr>
                <w:rFonts w:ascii="Calibri" w:hAnsi="Calibri"/>
                <w:color w:val="000000"/>
                <w:szCs w:val="20"/>
              </w:rPr>
            </w:pPr>
            <w:r w:rsidRPr="00F84F66">
              <w:rPr>
                <w:rFonts w:ascii="Calibri" w:hAnsi="Calibri"/>
                <w:color w:val="000000"/>
                <w:szCs w:val="20"/>
              </w:rPr>
              <w:t>Poľsko</w:t>
            </w:r>
          </w:p>
        </w:tc>
        <w:tc>
          <w:tcPr>
            <w:tcW w:w="1860" w:type="dxa"/>
            <w:shd w:val="clear" w:color="auto" w:fill="auto"/>
            <w:noWrap/>
            <w:vAlign w:val="bottom"/>
            <w:hideMark/>
          </w:tcPr>
          <w:p w14:paraId="0D2BC961"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286</w:t>
            </w:r>
          </w:p>
        </w:tc>
        <w:tc>
          <w:tcPr>
            <w:tcW w:w="1940" w:type="dxa"/>
            <w:shd w:val="clear" w:color="auto" w:fill="auto"/>
            <w:noWrap/>
            <w:vAlign w:val="bottom"/>
            <w:hideMark/>
          </w:tcPr>
          <w:p w14:paraId="63D93F17"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227</w:t>
            </w:r>
          </w:p>
        </w:tc>
        <w:tc>
          <w:tcPr>
            <w:tcW w:w="1900" w:type="dxa"/>
            <w:shd w:val="clear" w:color="auto" w:fill="auto"/>
            <w:noWrap/>
            <w:vAlign w:val="bottom"/>
            <w:hideMark/>
          </w:tcPr>
          <w:p w14:paraId="20563FAE" w14:textId="77777777" w:rsidR="00716930" w:rsidRPr="00F84F66" w:rsidRDefault="00716930" w:rsidP="001F20DC">
            <w:pPr>
              <w:spacing w:before="0" w:after="0" w:line="240" w:lineRule="auto"/>
              <w:jc w:val="center"/>
              <w:rPr>
                <w:rFonts w:ascii="Calibri" w:hAnsi="Calibri"/>
                <w:color w:val="000000"/>
                <w:szCs w:val="20"/>
              </w:rPr>
            </w:pPr>
            <w:r w:rsidRPr="00F84F66">
              <w:rPr>
                <w:rFonts w:ascii="Calibri" w:hAnsi="Calibri"/>
                <w:color w:val="000000"/>
                <w:szCs w:val="20"/>
              </w:rPr>
              <w:t>370</w:t>
            </w:r>
          </w:p>
        </w:tc>
      </w:tr>
    </w:tbl>
    <w:p w14:paraId="4F288514" w14:textId="1A22DCE3" w:rsidR="00716930" w:rsidRPr="000E4BB0" w:rsidRDefault="00716930" w:rsidP="00716930">
      <w:pPr>
        <w:rPr>
          <w:i/>
          <w:sz w:val="16"/>
        </w:rPr>
      </w:pPr>
      <w:r w:rsidRPr="000E4BB0">
        <w:rPr>
          <w:i/>
          <w:sz w:val="16"/>
        </w:rPr>
        <w:t xml:space="preserve">Zdroj: Štúdia VÚD </w:t>
      </w:r>
    </w:p>
    <w:p w14:paraId="4FF4CBD2" w14:textId="77777777" w:rsidR="003D5CA1" w:rsidRDefault="003D5CA1" w:rsidP="00716930"/>
    <w:p w14:paraId="6086242F" w14:textId="0CA924C8" w:rsidR="00716930" w:rsidRDefault="00716930" w:rsidP="00716930">
      <w:r>
        <w:t>Potom vážené priemerné hodnoty ukazovateľa nákladovej výnosnosti sú vypočítané v nasledujúcej tabuľke.</w:t>
      </w:r>
    </w:p>
    <w:p w14:paraId="152709B3" w14:textId="5E4D956C" w:rsidR="00716930" w:rsidRDefault="00716930" w:rsidP="00FA6605">
      <w:pPr>
        <w:pStyle w:val="Caption"/>
      </w:pPr>
      <w:r>
        <w:t xml:space="preserve">Tab. </w:t>
      </w:r>
      <w:r>
        <w:fldChar w:fldCharType="begin"/>
      </w:r>
      <w:r>
        <w:instrText xml:space="preserve"> SEQ Tab. \* ARABIC </w:instrText>
      </w:r>
      <w:r>
        <w:fldChar w:fldCharType="separate"/>
      </w:r>
      <w:r w:rsidR="00A86720">
        <w:rPr>
          <w:noProof/>
        </w:rPr>
        <w:t>13</w:t>
      </w:r>
      <w:r>
        <w:fldChar w:fldCharType="end"/>
      </w:r>
      <w:r>
        <w:t xml:space="preserve"> – Vážený priemer nákladovej výnosnosti mýtnych systémov v krajinách strednej Európy</w:t>
      </w:r>
    </w:p>
    <w:tbl>
      <w:tblPr>
        <w:tblW w:w="910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02"/>
        <w:gridCol w:w="1860"/>
        <w:gridCol w:w="1940"/>
        <w:gridCol w:w="1900"/>
      </w:tblGrid>
      <w:tr w:rsidR="00716930" w:rsidRPr="000E4BB0" w14:paraId="03C2C8AF" w14:textId="77777777" w:rsidTr="00A40297">
        <w:trPr>
          <w:trHeight w:val="510"/>
        </w:trPr>
        <w:tc>
          <w:tcPr>
            <w:tcW w:w="3402" w:type="dxa"/>
            <w:shd w:val="clear" w:color="000000" w:fill="BDD7EE"/>
            <w:noWrap/>
            <w:vAlign w:val="center"/>
            <w:hideMark/>
          </w:tcPr>
          <w:p w14:paraId="15ABDDB7" w14:textId="77777777" w:rsidR="00716930" w:rsidRPr="000E4BB0" w:rsidRDefault="00716930" w:rsidP="001F20DC">
            <w:pPr>
              <w:spacing w:before="0" w:after="0" w:line="240" w:lineRule="auto"/>
              <w:jc w:val="center"/>
              <w:rPr>
                <w:rFonts w:ascii="Calibri" w:hAnsi="Calibri"/>
                <w:color w:val="000000"/>
                <w:szCs w:val="20"/>
              </w:rPr>
            </w:pPr>
            <w:r>
              <w:rPr>
                <w:rFonts w:ascii="Calibri" w:hAnsi="Calibri"/>
                <w:color w:val="000000"/>
                <w:szCs w:val="20"/>
              </w:rPr>
              <w:t>Nákladová výnosnosť</w:t>
            </w:r>
          </w:p>
        </w:tc>
        <w:tc>
          <w:tcPr>
            <w:tcW w:w="1860" w:type="dxa"/>
            <w:shd w:val="clear" w:color="000000" w:fill="BDD7EE"/>
            <w:vAlign w:val="center"/>
            <w:hideMark/>
          </w:tcPr>
          <w:p w14:paraId="7D65661B" w14:textId="185DA06B"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 xml:space="preserve">Základný scenár: </w:t>
            </w:r>
            <w:r w:rsidRPr="000E4BB0">
              <w:rPr>
                <w:rFonts w:ascii="Calibri" w:hAnsi="Calibri"/>
                <w:color w:val="000000"/>
                <w:szCs w:val="20"/>
              </w:rPr>
              <w:br/>
              <w:t>1</w:t>
            </w:r>
            <w:r w:rsidR="001677A2">
              <w:rPr>
                <w:rFonts w:ascii="Calibri" w:hAnsi="Calibri"/>
                <w:color w:val="000000"/>
                <w:szCs w:val="20"/>
              </w:rPr>
              <w:t>.</w:t>
            </w:r>
            <w:r w:rsidRPr="000E4BB0">
              <w:rPr>
                <w:rFonts w:ascii="Calibri" w:hAnsi="Calibri"/>
                <w:color w:val="000000"/>
                <w:szCs w:val="20"/>
              </w:rPr>
              <w:t xml:space="preserve"> až 9</w:t>
            </w:r>
            <w:r w:rsidR="001677A2">
              <w:rPr>
                <w:rFonts w:ascii="Calibri" w:hAnsi="Calibri"/>
                <w:color w:val="000000"/>
                <w:szCs w:val="20"/>
              </w:rPr>
              <w:t>.</w:t>
            </w:r>
            <w:r w:rsidRPr="000E4BB0">
              <w:rPr>
                <w:rFonts w:ascii="Calibri" w:hAnsi="Calibri"/>
                <w:color w:val="000000"/>
                <w:szCs w:val="20"/>
              </w:rPr>
              <w:t xml:space="preserve"> rok prevádzky</w:t>
            </w:r>
          </w:p>
        </w:tc>
        <w:tc>
          <w:tcPr>
            <w:tcW w:w="1940" w:type="dxa"/>
            <w:shd w:val="clear" w:color="000000" w:fill="BDD7EE"/>
            <w:vAlign w:val="center"/>
            <w:hideMark/>
          </w:tcPr>
          <w:p w14:paraId="360B1597" w14:textId="7D4BEAD8"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 xml:space="preserve">Subscenár A: </w:t>
            </w:r>
            <w:r w:rsidRPr="000E4BB0">
              <w:rPr>
                <w:rFonts w:ascii="Calibri" w:hAnsi="Calibri"/>
                <w:color w:val="000000"/>
                <w:szCs w:val="20"/>
              </w:rPr>
              <w:br/>
              <w:t>1</w:t>
            </w:r>
            <w:r w:rsidR="001677A2">
              <w:rPr>
                <w:rFonts w:ascii="Calibri" w:hAnsi="Calibri"/>
                <w:color w:val="000000"/>
                <w:szCs w:val="20"/>
              </w:rPr>
              <w:t>.</w:t>
            </w:r>
            <w:r w:rsidRPr="000E4BB0">
              <w:rPr>
                <w:rFonts w:ascii="Calibri" w:hAnsi="Calibri"/>
                <w:color w:val="000000"/>
                <w:szCs w:val="20"/>
              </w:rPr>
              <w:t xml:space="preserve"> až 5</w:t>
            </w:r>
            <w:r w:rsidR="001677A2">
              <w:rPr>
                <w:rFonts w:ascii="Calibri" w:hAnsi="Calibri"/>
                <w:color w:val="000000"/>
                <w:szCs w:val="20"/>
              </w:rPr>
              <w:t>.</w:t>
            </w:r>
            <w:r w:rsidRPr="000E4BB0">
              <w:rPr>
                <w:rFonts w:ascii="Calibri" w:hAnsi="Calibri"/>
                <w:color w:val="000000"/>
                <w:szCs w:val="20"/>
              </w:rPr>
              <w:t xml:space="preserve"> rok prevádzky</w:t>
            </w:r>
          </w:p>
        </w:tc>
        <w:tc>
          <w:tcPr>
            <w:tcW w:w="1900" w:type="dxa"/>
            <w:shd w:val="clear" w:color="000000" w:fill="BDD7EE"/>
            <w:vAlign w:val="center"/>
            <w:hideMark/>
          </w:tcPr>
          <w:p w14:paraId="62481E64" w14:textId="6CC6E36F" w:rsidR="00716930" w:rsidRPr="000E4BB0" w:rsidRDefault="00716930" w:rsidP="001F20DC">
            <w:pPr>
              <w:spacing w:before="0" w:after="0" w:line="240" w:lineRule="auto"/>
              <w:jc w:val="center"/>
              <w:rPr>
                <w:rFonts w:ascii="Calibri" w:hAnsi="Calibri"/>
                <w:color w:val="000000"/>
                <w:szCs w:val="20"/>
              </w:rPr>
            </w:pPr>
            <w:r w:rsidRPr="000E4BB0">
              <w:rPr>
                <w:rFonts w:ascii="Calibri" w:hAnsi="Calibri"/>
                <w:color w:val="000000"/>
                <w:szCs w:val="20"/>
              </w:rPr>
              <w:t xml:space="preserve">Subscenár B: </w:t>
            </w:r>
            <w:r w:rsidRPr="000E4BB0">
              <w:rPr>
                <w:rFonts w:ascii="Calibri" w:hAnsi="Calibri"/>
                <w:color w:val="000000"/>
                <w:szCs w:val="20"/>
              </w:rPr>
              <w:br/>
              <w:t>6</w:t>
            </w:r>
            <w:r w:rsidR="001677A2">
              <w:rPr>
                <w:rFonts w:ascii="Calibri" w:hAnsi="Calibri"/>
                <w:color w:val="000000"/>
                <w:szCs w:val="20"/>
              </w:rPr>
              <w:t>.</w:t>
            </w:r>
            <w:r w:rsidRPr="000E4BB0">
              <w:rPr>
                <w:rFonts w:ascii="Calibri" w:hAnsi="Calibri"/>
                <w:color w:val="000000"/>
                <w:szCs w:val="20"/>
              </w:rPr>
              <w:t xml:space="preserve"> až 9</w:t>
            </w:r>
            <w:r w:rsidR="001677A2">
              <w:rPr>
                <w:rFonts w:ascii="Calibri" w:hAnsi="Calibri"/>
                <w:color w:val="000000"/>
                <w:szCs w:val="20"/>
              </w:rPr>
              <w:t>.</w:t>
            </w:r>
            <w:r w:rsidRPr="000E4BB0">
              <w:rPr>
                <w:rFonts w:ascii="Calibri" w:hAnsi="Calibri"/>
                <w:color w:val="000000"/>
                <w:szCs w:val="20"/>
              </w:rPr>
              <w:t xml:space="preserve"> rok prevádzky</w:t>
            </w:r>
          </w:p>
        </w:tc>
      </w:tr>
      <w:tr w:rsidR="00716930" w:rsidRPr="000E4BB0" w14:paraId="65C36230" w14:textId="77777777" w:rsidTr="00A40297">
        <w:trPr>
          <w:trHeight w:val="255"/>
        </w:trPr>
        <w:tc>
          <w:tcPr>
            <w:tcW w:w="3402" w:type="dxa"/>
            <w:shd w:val="clear" w:color="000000" w:fill="DDEBF7"/>
            <w:noWrap/>
            <w:vAlign w:val="bottom"/>
            <w:hideMark/>
          </w:tcPr>
          <w:p w14:paraId="629999B2" w14:textId="62D96B24" w:rsidR="00716930" w:rsidRPr="000E4BB0" w:rsidRDefault="00716930" w:rsidP="001F20DC">
            <w:pPr>
              <w:spacing w:before="0" w:after="0" w:line="240" w:lineRule="auto"/>
              <w:jc w:val="left"/>
              <w:rPr>
                <w:rFonts w:ascii="Calibri" w:hAnsi="Calibri"/>
                <w:color w:val="000000"/>
                <w:szCs w:val="20"/>
              </w:rPr>
            </w:pPr>
            <w:r>
              <w:rPr>
                <w:rFonts w:ascii="Calibri" w:hAnsi="Calibri"/>
                <w:color w:val="000000"/>
                <w:szCs w:val="20"/>
              </w:rPr>
              <w:t>Vážený priemer (DE, CZ, A</w:t>
            </w:r>
            <w:r w:rsidR="00301030">
              <w:rPr>
                <w:rFonts w:ascii="Calibri" w:hAnsi="Calibri"/>
                <w:color w:val="000000"/>
                <w:szCs w:val="20"/>
              </w:rPr>
              <w:t>T</w:t>
            </w:r>
            <w:r>
              <w:rPr>
                <w:rFonts w:ascii="Calibri" w:hAnsi="Calibri"/>
                <w:color w:val="000000"/>
                <w:szCs w:val="20"/>
              </w:rPr>
              <w:t>, PL)</w:t>
            </w:r>
          </w:p>
        </w:tc>
        <w:tc>
          <w:tcPr>
            <w:tcW w:w="1860" w:type="dxa"/>
            <w:shd w:val="clear" w:color="auto" w:fill="auto"/>
            <w:noWrap/>
            <w:hideMark/>
          </w:tcPr>
          <w:p w14:paraId="39AA1D61" w14:textId="77777777" w:rsidR="00716930" w:rsidRPr="000E4BB0" w:rsidRDefault="00716930" w:rsidP="001F20DC">
            <w:pPr>
              <w:spacing w:before="0" w:after="0" w:line="240" w:lineRule="auto"/>
              <w:jc w:val="center"/>
              <w:rPr>
                <w:rFonts w:asciiTheme="minorHAnsi" w:hAnsiTheme="minorHAnsi"/>
                <w:color w:val="000000"/>
                <w:szCs w:val="20"/>
              </w:rPr>
            </w:pPr>
            <w:r w:rsidRPr="00E36F49">
              <w:rPr>
                <w:rFonts w:asciiTheme="minorHAnsi" w:hAnsiTheme="minorHAnsi"/>
              </w:rPr>
              <w:t>17,96%</w:t>
            </w:r>
          </w:p>
        </w:tc>
        <w:tc>
          <w:tcPr>
            <w:tcW w:w="1940" w:type="dxa"/>
            <w:shd w:val="clear" w:color="auto" w:fill="auto"/>
            <w:noWrap/>
            <w:hideMark/>
          </w:tcPr>
          <w:p w14:paraId="4E35D24D" w14:textId="77777777" w:rsidR="00716930" w:rsidRPr="000E4BB0" w:rsidRDefault="00716930" w:rsidP="001F20DC">
            <w:pPr>
              <w:spacing w:before="0" w:after="0" w:line="240" w:lineRule="auto"/>
              <w:jc w:val="center"/>
              <w:rPr>
                <w:rFonts w:asciiTheme="minorHAnsi" w:hAnsiTheme="minorHAnsi"/>
                <w:color w:val="000000"/>
                <w:szCs w:val="20"/>
              </w:rPr>
            </w:pPr>
            <w:r w:rsidRPr="00E36F49">
              <w:rPr>
                <w:rFonts w:asciiTheme="minorHAnsi" w:hAnsiTheme="minorHAnsi"/>
              </w:rPr>
              <w:t>21,05%</w:t>
            </w:r>
          </w:p>
        </w:tc>
        <w:tc>
          <w:tcPr>
            <w:tcW w:w="1900" w:type="dxa"/>
            <w:shd w:val="clear" w:color="auto" w:fill="auto"/>
            <w:noWrap/>
            <w:hideMark/>
          </w:tcPr>
          <w:p w14:paraId="01D1B96E" w14:textId="77777777" w:rsidR="00716930" w:rsidRPr="000E4BB0" w:rsidRDefault="00716930" w:rsidP="001F20DC">
            <w:pPr>
              <w:spacing w:before="0" w:after="0" w:line="240" w:lineRule="auto"/>
              <w:jc w:val="center"/>
              <w:rPr>
                <w:rFonts w:asciiTheme="minorHAnsi" w:hAnsiTheme="minorHAnsi"/>
                <w:color w:val="000000"/>
                <w:szCs w:val="20"/>
              </w:rPr>
            </w:pPr>
            <w:r w:rsidRPr="00E36F49">
              <w:rPr>
                <w:rFonts w:asciiTheme="minorHAnsi" w:hAnsiTheme="minorHAnsi"/>
              </w:rPr>
              <w:t>13,45%</w:t>
            </w:r>
          </w:p>
        </w:tc>
      </w:tr>
    </w:tbl>
    <w:p w14:paraId="139AB23F" w14:textId="77777777" w:rsidR="00716930" w:rsidRPr="0044648F" w:rsidRDefault="00716930" w:rsidP="00716930">
      <w:pPr>
        <w:rPr>
          <w:i/>
          <w:sz w:val="16"/>
        </w:rPr>
      </w:pPr>
      <w:r>
        <w:t xml:space="preserve"> </w:t>
      </w:r>
      <w:r w:rsidRPr="0044648F">
        <w:rPr>
          <w:i/>
          <w:sz w:val="16"/>
        </w:rPr>
        <w:t>Zdroj: výpočet z údajov v tabuľkách vyššie</w:t>
      </w:r>
    </w:p>
    <w:p w14:paraId="7B9E7F01" w14:textId="77777777" w:rsidR="003D5CA1" w:rsidRDefault="003D5CA1" w:rsidP="00716930"/>
    <w:p w14:paraId="327D77FE" w14:textId="0AA1C8BC" w:rsidR="00C359D1" w:rsidRDefault="00EA513D" w:rsidP="00716930">
      <w:r>
        <w:t>Ak porovnáme kontrolovaný návrh sadzby odmeny poskytovateľov EETS s v</w:t>
      </w:r>
      <w:r w:rsidRPr="00EA513D">
        <w:t>ážený</w:t>
      </w:r>
      <w:r>
        <w:t>m</w:t>
      </w:r>
      <w:r w:rsidRPr="00EA513D">
        <w:t xml:space="preserve"> priemer</w:t>
      </w:r>
      <w:r>
        <w:t>om</w:t>
      </w:r>
      <w:r w:rsidRPr="00EA513D">
        <w:t xml:space="preserve"> nákladovej výnosnosti mýtnych systémov v krajinách strednej Európy</w:t>
      </w:r>
      <w:r>
        <w:t xml:space="preserve"> môžeme konštatovať, že navrhovaná sadzba odmeny poskytovateľov EETS odvodená zo zmluvných cien Zmluvy ETC</w:t>
      </w:r>
      <w:r w:rsidR="00C359D1">
        <w:t xml:space="preserve"> sa odlišuje od priemernej hodnoty nákladovej výnosnosti mýtnych systémov v stredoeurópskych krajinách o menej ako </w:t>
      </w:r>
      <w:r w:rsidR="00CB29DB">
        <w:t xml:space="preserve">6 </w:t>
      </w:r>
      <w:r w:rsidR="00C359D1">
        <w:t>% (referenčný subscenár B, hodnotí sa 6. až 9. rok prevádzky)</w:t>
      </w:r>
      <w:r w:rsidR="00CB29DB">
        <w:t xml:space="preserve"> a je dokonca lepšia, ako stredoeurópsky priemer</w:t>
      </w:r>
      <w:r w:rsidR="00C359D1">
        <w:t xml:space="preserve">. </w:t>
      </w:r>
      <w:r w:rsidR="00DE739A">
        <w:t xml:space="preserve">Subscenár B lepšie reprezentuje ustálené prevádzkové podmienky, technologickú a procesnú zrelosť posudzovaných mýtnych systémov.   </w:t>
      </w:r>
    </w:p>
    <w:p w14:paraId="62DA878D" w14:textId="4559235E" w:rsidR="00EA513D" w:rsidRDefault="00C359D1" w:rsidP="00716930">
      <w:r>
        <w:t xml:space="preserve">Výsledok vykonanej kontroly preukazuje primeranosť navrhnutej sadzby odmeny za služby poskytovateľov EETS </w:t>
      </w:r>
      <w:r w:rsidR="00CB29DB">
        <w:t>12</w:t>
      </w:r>
      <w:r>
        <w:t>,</w:t>
      </w:r>
      <w:r w:rsidR="00CB29DB">
        <w:t xml:space="preserve">73 </w:t>
      </w:r>
      <w:r>
        <w:t xml:space="preserve">% z vybranej sumy mýta pred odpočítaním poplatku na pokrytie nákladov </w:t>
      </w:r>
      <w:r w:rsidR="00B324B6">
        <w:t>Správc</w:t>
      </w:r>
      <w:r>
        <w:t>u výberu mýta na zabezpečenie EETS</w:t>
      </w:r>
      <w:r w:rsidR="00DE739A">
        <w:t>.</w:t>
      </w:r>
      <w:r>
        <w:t xml:space="preserve"> </w:t>
      </w:r>
      <w:r w:rsidR="00EA513D">
        <w:t xml:space="preserve">  </w:t>
      </w:r>
    </w:p>
    <w:p w14:paraId="2246C401" w14:textId="07AE965B" w:rsidR="00716930" w:rsidRDefault="00716930" w:rsidP="00716930">
      <w:r>
        <w:t>V ďalš</w:t>
      </w:r>
      <w:r w:rsidR="00C74A08">
        <w:t>o</w:t>
      </w:r>
      <w:r>
        <w:t xml:space="preserve">m kroku </w:t>
      </w:r>
      <w:r w:rsidR="00DE739A">
        <w:t>odpočítame od</w:t>
      </w:r>
      <w:r>
        <w:t xml:space="preserve"> </w:t>
      </w:r>
      <w:r w:rsidR="00DE739A">
        <w:t xml:space="preserve">východiskovej </w:t>
      </w:r>
      <w:r>
        <w:t xml:space="preserve">(brutto) odmeny poskytovateľov EETS príspevok na pokrytie nákladov </w:t>
      </w:r>
      <w:r w:rsidR="00B324B6">
        <w:t>Správc</w:t>
      </w:r>
      <w:r>
        <w:t>u výberu mýta na zabezpečenie EETS, podrobnosti viď tabuľka nižšie.</w:t>
      </w:r>
    </w:p>
    <w:p w14:paraId="0FDA1D81" w14:textId="5E16EFB4" w:rsidR="00716930" w:rsidRDefault="00716930" w:rsidP="00FA6605">
      <w:pPr>
        <w:pStyle w:val="Caption"/>
      </w:pPr>
      <w:bookmarkStart w:id="67" w:name="_Ref71735201"/>
      <w:r>
        <w:t xml:space="preserve">Tab. </w:t>
      </w:r>
      <w:r>
        <w:fldChar w:fldCharType="begin"/>
      </w:r>
      <w:r>
        <w:instrText xml:space="preserve"> SEQ Tab. \* ARABIC </w:instrText>
      </w:r>
      <w:r>
        <w:fldChar w:fldCharType="separate"/>
      </w:r>
      <w:r w:rsidR="00A86720">
        <w:rPr>
          <w:noProof/>
        </w:rPr>
        <w:t>14</w:t>
      </w:r>
      <w:r>
        <w:fldChar w:fldCharType="end"/>
      </w:r>
      <w:bookmarkEnd w:id="67"/>
      <w:r>
        <w:t xml:space="preserve"> - Stanovenie sadzby odmeny poskytovateľov EETS</w:t>
      </w:r>
    </w:p>
    <w:tbl>
      <w:tblPr>
        <w:tblW w:w="917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977"/>
        <w:gridCol w:w="1240"/>
        <w:gridCol w:w="1240"/>
        <w:gridCol w:w="1240"/>
        <w:gridCol w:w="1240"/>
        <w:gridCol w:w="1240"/>
      </w:tblGrid>
      <w:tr w:rsidR="00716930" w:rsidRPr="00734439" w14:paraId="1364D5F9" w14:textId="77777777" w:rsidTr="00366F12">
        <w:trPr>
          <w:trHeight w:val="501"/>
          <w:tblHeader/>
        </w:trPr>
        <w:tc>
          <w:tcPr>
            <w:tcW w:w="2977" w:type="dxa"/>
            <w:shd w:val="clear" w:color="000000" w:fill="BDD7EE"/>
            <w:noWrap/>
            <w:vAlign w:val="center"/>
            <w:hideMark/>
          </w:tcPr>
          <w:p w14:paraId="3DAA87C0" w14:textId="77777777" w:rsidR="00716930" w:rsidRPr="00E36F49" w:rsidRDefault="00716930" w:rsidP="00716930">
            <w:pPr>
              <w:spacing w:before="0" w:after="0" w:line="240" w:lineRule="auto"/>
              <w:jc w:val="center"/>
              <w:rPr>
                <w:rFonts w:ascii="Calibri" w:hAnsi="Calibri"/>
                <w:szCs w:val="20"/>
              </w:rPr>
            </w:pPr>
            <w:r>
              <w:rPr>
                <w:rFonts w:ascii="Calibri" w:hAnsi="Calibri"/>
                <w:szCs w:val="20"/>
              </w:rPr>
              <w:t>Údaje v % a v EUR</w:t>
            </w:r>
          </w:p>
        </w:tc>
        <w:tc>
          <w:tcPr>
            <w:tcW w:w="1240" w:type="dxa"/>
            <w:shd w:val="clear" w:color="000000" w:fill="BDD7EE"/>
            <w:noWrap/>
            <w:vAlign w:val="center"/>
            <w:hideMark/>
          </w:tcPr>
          <w:p w14:paraId="522698D5" w14:textId="77777777" w:rsidR="00716930" w:rsidRPr="00E36F49" w:rsidRDefault="00716930" w:rsidP="00716930">
            <w:pPr>
              <w:spacing w:before="0" w:after="0" w:line="240" w:lineRule="auto"/>
              <w:jc w:val="center"/>
              <w:rPr>
                <w:rFonts w:ascii="Calibri" w:hAnsi="Calibri"/>
                <w:szCs w:val="20"/>
              </w:rPr>
            </w:pPr>
            <w:r w:rsidRPr="00E36F49">
              <w:rPr>
                <w:rFonts w:ascii="Calibri" w:hAnsi="Calibri"/>
                <w:szCs w:val="20"/>
              </w:rPr>
              <w:t>2022</w:t>
            </w:r>
          </w:p>
        </w:tc>
        <w:tc>
          <w:tcPr>
            <w:tcW w:w="1240" w:type="dxa"/>
            <w:shd w:val="clear" w:color="000000" w:fill="BDD7EE"/>
            <w:noWrap/>
            <w:vAlign w:val="center"/>
            <w:hideMark/>
          </w:tcPr>
          <w:p w14:paraId="2DC1F32E" w14:textId="77777777" w:rsidR="00716930" w:rsidRPr="00E36F49" w:rsidRDefault="00716930" w:rsidP="00716930">
            <w:pPr>
              <w:spacing w:before="0" w:after="0" w:line="240" w:lineRule="auto"/>
              <w:jc w:val="center"/>
              <w:rPr>
                <w:rFonts w:ascii="Calibri" w:hAnsi="Calibri"/>
                <w:szCs w:val="20"/>
              </w:rPr>
            </w:pPr>
            <w:r w:rsidRPr="00E36F49">
              <w:rPr>
                <w:rFonts w:ascii="Calibri" w:hAnsi="Calibri"/>
                <w:szCs w:val="20"/>
              </w:rPr>
              <w:t>2023</w:t>
            </w:r>
          </w:p>
        </w:tc>
        <w:tc>
          <w:tcPr>
            <w:tcW w:w="1240" w:type="dxa"/>
            <w:shd w:val="clear" w:color="000000" w:fill="BDD7EE"/>
            <w:noWrap/>
            <w:vAlign w:val="center"/>
            <w:hideMark/>
          </w:tcPr>
          <w:p w14:paraId="049AF059" w14:textId="77777777" w:rsidR="00716930" w:rsidRPr="00E36F49" w:rsidRDefault="00716930" w:rsidP="00716930">
            <w:pPr>
              <w:spacing w:before="0" w:after="0" w:line="240" w:lineRule="auto"/>
              <w:jc w:val="center"/>
              <w:rPr>
                <w:rFonts w:ascii="Calibri" w:hAnsi="Calibri"/>
                <w:szCs w:val="20"/>
              </w:rPr>
            </w:pPr>
            <w:r w:rsidRPr="00E36F49">
              <w:rPr>
                <w:rFonts w:ascii="Calibri" w:hAnsi="Calibri"/>
                <w:szCs w:val="20"/>
              </w:rPr>
              <w:t>2024</w:t>
            </w:r>
          </w:p>
        </w:tc>
        <w:tc>
          <w:tcPr>
            <w:tcW w:w="1240" w:type="dxa"/>
            <w:shd w:val="clear" w:color="000000" w:fill="BDD7EE"/>
            <w:noWrap/>
            <w:vAlign w:val="center"/>
            <w:hideMark/>
          </w:tcPr>
          <w:p w14:paraId="4703487E" w14:textId="77777777" w:rsidR="00716930" w:rsidRPr="00E36F49" w:rsidRDefault="00716930" w:rsidP="00716930">
            <w:pPr>
              <w:spacing w:before="0" w:after="0" w:line="240" w:lineRule="auto"/>
              <w:jc w:val="center"/>
              <w:rPr>
                <w:rFonts w:ascii="Calibri" w:hAnsi="Calibri"/>
                <w:szCs w:val="20"/>
              </w:rPr>
            </w:pPr>
            <w:r w:rsidRPr="00E36F49">
              <w:rPr>
                <w:rFonts w:ascii="Calibri" w:hAnsi="Calibri"/>
                <w:szCs w:val="20"/>
              </w:rPr>
              <w:t>2025</w:t>
            </w:r>
          </w:p>
        </w:tc>
        <w:tc>
          <w:tcPr>
            <w:tcW w:w="1240" w:type="dxa"/>
            <w:shd w:val="clear" w:color="000000" w:fill="BDD7EE"/>
            <w:noWrap/>
            <w:vAlign w:val="center"/>
            <w:hideMark/>
          </w:tcPr>
          <w:p w14:paraId="6400F285" w14:textId="77777777" w:rsidR="00716930" w:rsidRPr="00E36F49" w:rsidRDefault="00716930" w:rsidP="00716930">
            <w:pPr>
              <w:spacing w:before="0" w:after="0" w:line="240" w:lineRule="auto"/>
              <w:jc w:val="center"/>
              <w:rPr>
                <w:rFonts w:ascii="Calibri" w:hAnsi="Calibri"/>
                <w:szCs w:val="20"/>
              </w:rPr>
            </w:pPr>
            <w:r w:rsidRPr="00E36F49">
              <w:rPr>
                <w:rFonts w:ascii="Calibri" w:hAnsi="Calibri"/>
                <w:szCs w:val="20"/>
              </w:rPr>
              <w:t>2026</w:t>
            </w:r>
          </w:p>
        </w:tc>
      </w:tr>
      <w:tr w:rsidR="00716930" w:rsidRPr="00734439" w14:paraId="65E5E03C" w14:textId="77777777" w:rsidTr="00A40297">
        <w:trPr>
          <w:trHeight w:val="255"/>
        </w:trPr>
        <w:tc>
          <w:tcPr>
            <w:tcW w:w="2977" w:type="dxa"/>
            <w:shd w:val="clear" w:color="000000" w:fill="DDEBF7"/>
            <w:noWrap/>
            <w:vAlign w:val="bottom"/>
            <w:hideMark/>
          </w:tcPr>
          <w:p w14:paraId="1E717C63" w14:textId="77777777" w:rsidR="00716930" w:rsidRPr="00E36F49" w:rsidRDefault="00716930" w:rsidP="001F20DC">
            <w:pPr>
              <w:spacing w:before="0" w:after="0" w:line="240" w:lineRule="auto"/>
              <w:jc w:val="left"/>
              <w:rPr>
                <w:rFonts w:ascii="Calibri" w:hAnsi="Calibri"/>
                <w:szCs w:val="20"/>
              </w:rPr>
            </w:pPr>
            <w:r w:rsidRPr="00E36F49">
              <w:rPr>
                <w:rFonts w:ascii="Calibri" w:hAnsi="Calibri"/>
                <w:szCs w:val="20"/>
              </w:rPr>
              <w:t>Prognóza podielu služieb EETS na výbere mýta</w:t>
            </w:r>
          </w:p>
        </w:tc>
        <w:tc>
          <w:tcPr>
            <w:tcW w:w="1240" w:type="dxa"/>
            <w:shd w:val="clear" w:color="auto" w:fill="auto"/>
            <w:noWrap/>
            <w:vAlign w:val="center"/>
            <w:hideMark/>
          </w:tcPr>
          <w:p w14:paraId="02BDAE05" w14:textId="12490274" w:rsidR="00716930" w:rsidRPr="00E36F49" w:rsidRDefault="00716930" w:rsidP="001F20DC">
            <w:pPr>
              <w:spacing w:before="0" w:after="0" w:line="240" w:lineRule="auto"/>
              <w:jc w:val="center"/>
              <w:rPr>
                <w:rFonts w:ascii="Calibri" w:hAnsi="Calibri"/>
                <w:szCs w:val="20"/>
              </w:rPr>
            </w:pPr>
            <w:r w:rsidRPr="00E36F49">
              <w:rPr>
                <w:rFonts w:ascii="Calibri" w:hAnsi="Calibri"/>
                <w:szCs w:val="20"/>
              </w:rPr>
              <w:t>5</w:t>
            </w:r>
            <w:r w:rsidR="00CB29DB">
              <w:rPr>
                <w:rFonts w:ascii="Calibri" w:hAnsi="Calibri"/>
                <w:szCs w:val="20"/>
              </w:rPr>
              <w:t xml:space="preserve"> </w:t>
            </w:r>
            <w:r w:rsidRPr="00E36F49">
              <w:rPr>
                <w:rFonts w:ascii="Calibri" w:hAnsi="Calibri"/>
                <w:szCs w:val="20"/>
              </w:rPr>
              <w:t>%</w:t>
            </w:r>
          </w:p>
        </w:tc>
        <w:tc>
          <w:tcPr>
            <w:tcW w:w="1240" w:type="dxa"/>
            <w:shd w:val="clear" w:color="auto" w:fill="auto"/>
            <w:noWrap/>
            <w:vAlign w:val="center"/>
            <w:hideMark/>
          </w:tcPr>
          <w:p w14:paraId="41C9B74E" w14:textId="00672299" w:rsidR="00716930" w:rsidRPr="00E36F49" w:rsidRDefault="00716930" w:rsidP="001F20DC">
            <w:pPr>
              <w:spacing w:before="0" w:after="0" w:line="240" w:lineRule="auto"/>
              <w:jc w:val="center"/>
              <w:rPr>
                <w:rFonts w:ascii="Calibri" w:hAnsi="Calibri"/>
                <w:szCs w:val="20"/>
              </w:rPr>
            </w:pPr>
            <w:r w:rsidRPr="00E36F49">
              <w:rPr>
                <w:rFonts w:ascii="Calibri" w:hAnsi="Calibri"/>
                <w:szCs w:val="20"/>
              </w:rPr>
              <w:t>10</w:t>
            </w:r>
            <w:r w:rsidR="00CB29DB">
              <w:rPr>
                <w:rFonts w:ascii="Calibri" w:hAnsi="Calibri"/>
                <w:szCs w:val="20"/>
              </w:rPr>
              <w:t xml:space="preserve"> </w:t>
            </w:r>
            <w:r w:rsidRPr="00E36F49">
              <w:rPr>
                <w:rFonts w:ascii="Calibri" w:hAnsi="Calibri"/>
                <w:szCs w:val="20"/>
              </w:rPr>
              <w:t>%</w:t>
            </w:r>
          </w:p>
        </w:tc>
        <w:tc>
          <w:tcPr>
            <w:tcW w:w="1240" w:type="dxa"/>
            <w:shd w:val="clear" w:color="auto" w:fill="auto"/>
            <w:noWrap/>
            <w:vAlign w:val="center"/>
            <w:hideMark/>
          </w:tcPr>
          <w:p w14:paraId="7289FBBC" w14:textId="31FF1E82" w:rsidR="00716930" w:rsidRPr="00E36F49" w:rsidRDefault="00716930" w:rsidP="001F20DC">
            <w:pPr>
              <w:spacing w:before="0" w:after="0" w:line="240" w:lineRule="auto"/>
              <w:jc w:val="center"/>
              <w:rPr>
                <w:rFonts w:ascii="Calibri" w:hAnsi="Calibri"/>
                <w:szCs w:val="20"/>
              </w:rPr>
            </w:pPr>
            <w:r w:rsidRPr="00E36F49">
              <w:rPr>
                <w:rFonts w:ascii="Calibri" w:hAnsi="Calibri"/>
                <w:szCs w:val="20"/>
              </w:rPr>
              <w:t>20</w:t>
            </w:r>
            <w:r w:rsidR="00CB29DB">
              <w:rPr>
                <w:rFonts w:ascii="Calibri" w:hAnsi="Calibri"/>
                <w:szCs w:val="20"/>
              </w:rPr>
              <w:t xml:space="preserve"> </w:t>
            </w:r>
            <w:r w:rsidRPr="00E36F49">
              <w:rPr>
                <w:rFonts w:ascii="Calibri" w:hAnsi="Calibri"/>
                <w:szCs w:val="20"/>
              </w:rPr>
              <w:t>%</w:t>
            </w:r>
          </w:p>
        </w:tc>
        <w:tc>
          <w:tcPr>
            <w:tcW w:w="1240" w:type="dxa"/>
            <w:shd w:val="clear" w:color="auto" w:fill="auto"/>
            <w:noWrap/>
            <w:vAlign w:val="center"/>
            <w:hideMark/>
          </w:tcPr>
          <w:p w14:paraId="328B4852" w14:textId="224D3BF2" w:rsidR="00716930" w:rsidRPr="00E36F49" w:rsidRDefault="00716930" w:rsidP="001F20DC">
            <w:pPr>
              <w:spacing w:before="0" w:after="0" w:line="240" w:lineRule="auto"/>
              <w:jc w:val="center"/>
              <w:rPr>
                <w:rFonts w:ascii="Calibri" w:hAnsi="Calibri"/>
                <w:szCs w:val="20"/>
              </w:rPr>
            </w:pPr>
            <w:r w:rsidRPr="00E36F49">
              <w:rPr>
                <w:rFonts w:ascii="Calibri" w:hAnsi="Calibri"/>
                <w:szCs w:val="20"/>
              </w:rPr>
              <w:t>30</w:t>
            </w:r>
            <w:r w:rsidR="00CB29DB">
              <w:rPr>
                <w:rFonts w:ascii="Calibri" w:hAnsi="Calibri"/>
                <w:szCs w:val="20"/>
              </w:rPr>
              <w:t xml:space="preserve"> </w:t>
            </w:r>
            <w:r w:rsidRPr="00E36F49">
              <w:rPr>
                <w:rFonts w:ascii="Calibri" w:hAnsi="Calibri"/>
                <w:szCs w:val="20"/>
              </w:rPr>
              <w:t>%</w:t>
            </w:r>
          </w:p>
        </w:tc>
        <w:tc>
          <w:tcPr>
            <w:tcW w:w="1240" w:type="dxa"/>
            <w:shd w:val="clear" w:color="auto" w:fill="auto"/>
            <w:noWrap/>
            <w:vAlign w:val="center"/>
            <w:hideMark/>
          </w:tcPr>
          <w:p w14:paraId="2462305B" w14:textId="571D2603" w:rsidR="00716930" w:rsidRPr="00E36F49" w:rsidRDefault="00716930" w:rsidP="001F20DC">
            <w:pPr>
              <w:spacing w:before="0" w:after="0" w:line="240" w:lineRule="auto"/>
              <w:jc w:val="center"/>
              <w:rPr>
                <w:rFonts w:ascii="Calibri" w:hAnsi="Calibri"/>
                <w:szCs w:val="20"/>
              </w:rPr>
            </w:pPr>
            <w:r w:rsidRPr="00E36F49">
              <w:rPr>
                <w:rFonts w:ascii="Calibri" w:hAnsi="Calibri"/>
                <w:szCs w:val="20"/>
              </w:rPr>
              <w:t>35</w:t>
            </w:r>
            <w:r w:rsidR="00CB29DB">
              <w:rPr>
                <w:rFonts w:ascii="Calibri" w:hAnsi="Calibri"/>
                <w:szCs w:val="20"/>
              </w:rPr>
              <w:t xml:space="preserve"> </w:t>
            </w:r>
            <w:r w:rsidRPr="00E36F49">
              <w:rPr>
                <w:rFonts w:ascii="Calibri" w:hAnsi="Calibri"/>
                <w:szCs w:val="20"/>
              </w:rPr>
              <w:t>%</w:t>
            </w:r>
          </w:p>
        </w:tc>
      </w:tr>
      <w:tr w:rsidR="00716930" w:rsidRPr="00734439" w14:paraId="658E6E44" w14:textId="77777777" w:rsidTr="00A40297">
        <w:trPr>
          <w:trHeight w:val="255"/>
        </w:trPr>
        <w:tc>
          <w:tcPr>
            <w:tcW w:w="2977" w:type="dxa"/>
            <w:shd w:val="clear" w:color="000000" w:fill="DDEBF7"/>
            <w:noWrap/>
            <w:vAlign w:val="bottom"/>
            <w:hideMark/>
          </w:tcPr>
          <w:p w14:paraId="3ED83B15" w14:textId="77777777" w:rsidR="00716930" w:rsidRPr="00E36F49" w:rsidRDefault="00716930" w:rsidP="001F20DC">
            <w:pPr>
              <w:spacing w:before="0" w:after="0" w:line="240" w:lineRule="auto"/>
              <w:jc w:val="left"/>
              <w:rPr>
                <w:rFonts w:ascii="Calibri" w:hAnsi="Calibri"/>
                <w:szCs w:val="20"/>
              </w:rPr>
            </w:pPr>
            <w:r w:rsidRPr="00E36F49">
              <w:rPr>
                <w:rFonts w:ascii="Calibri" w:hAnsi="Calibri"/>
                <w:szCs w:val="20"/>
              </w:rPr>
              <w:t>Prognóza výberu mýta</w:t>
            </w:r>
          </w:p>
        </w:tc>
        <w:tc>
          <w:tcPr>
            <w:tcW w:w="1240" w:type="dxa"/>
            <w:shd w:val="clear" w:color="auto" w:fill="auto"/>
            <w:noWrap/>
            <w:vAlign w:val="bottom"/>
            <w:hideMark/>
          </w:tcPr>
          <w:p w14:paraId="085F73F1"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233 655 755</w:t>
            </w:r>
          </w:p>
        </w:tc>
        <w:tc>
          <w:tcPr>
            <w:tcW w:w="1240" w:type="dxa"/>
            <w:shd w:val="clear" w:color="auto" w:fill="auto"/>
            <w:noWrap/>
            <w:vAlign w:val="bottom"/>
            <w:hideMark/>
          </w:tcPr>
          <w:p w14:paraId="50EF99D3"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245 504 057</w:t>
            </w:r>
          </w:p>
        </w:tc>
        <w:tc>
          <w:tcPr>
            <w:tcW w:w="1240" w:type="dxa"/>
            <w:shd w:val="clear" w:color="auto" w:fill="auto"/>
            <w:noWrap/>
            <w:vAlign w:val="bottom"/>
            <w:hideMark/>
          </w:tcPr>
          <w:p w14:paraId="12ED131D"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248 712 141</w:t>
            </w:r>
          </w:p>
        </w:tc>
        <w:tc>
          <w:tcPr>
            <w:tcW w:w="1240" w:type="dxa"/>
            <w:shd w:val="clear" w:color="auto" w:fill="auto"/>
            <w:noWrap/>
            <w:vAlign w:val="bottom"/>
            <w:hideMark/>
          </w:tcPr>
          <w:p w14:paraId="2C0302BF"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251 653 366</w:t>
            </w:r>
          </w:p>
        </w:tc>
        <w:tc>
          <w:tcPr>
            <w:tcW w:w="1240" w:type="dxa"/>
            <w:shd w:val="clear" w:color="auto" w:fill="auto"/>
            <w:noWrap/>
            <w:vAlign w:val="bottom"/>
            <w:hideMark/>
          </w:tcPr>
          <w:p w14:paraId="0A8D309B"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255 239 016</w:t>
            </w:r>
          </w:p>
        </w:tc>
      </w:tr>
      <w:tr w:rsidR="00716930" w:rsidRPr="00734439" w14:paraId="348D40CB" w14:textId="77777777" w:rsidTr="00A40297">
        <w:trPr>
          <w:trHeight w:val="255"/>
        </w:trPr>
        <w:tc>
          <w:tcPr>
            <w:tcW w:w="2977" w:type="dxa"/>
            <w:shd w:val="clear" w:color="000000" w:fill="DDEBF7"/>
            <w:noWrap/>
            <w:vAlign w:val="bottom"/>
            <w:hideMark/>
          </w:tcPr>
          <w:p w14:paraId="24291D3E" w14:textId="77777777" w:rsidR="00716930" w:rsidRPr="00E36F49" w:rsidRDefault="00716930" w:rsidP="001F20DC">
            <w:pPr>
              <w:spacing w:before="0" w:after="0" w:line="240" w:lineRule="auto"/>
              <w:jc w:val="left"/>
              <w:rPr>
                <w:rFonts w:ascii="Calibri" w:hAnsi="Calibri"/>
                <w:szCs w:val="20"/>
              </w:rPr>
            </w:pPr>
            <w:r w:rsidRPr="00E36F49">
              <w:rPr>
                <w:rFonts w:ascii="Calibri" w:hAnsi="Calibri"/>
                <w:szCs w:val="20"/>
              </w:rPr>
              <w:t>Podiel poskytovateľov EETS na výbere mýta</w:t>
            </w:r>
          </w:p>
        </w:tc>
        <w:tc>
          <w:tcPr>
            <w:tcW w:w="1240" w:type="dxa"/>
            <w:shd w:val="clear" w:color="auto" w:fill="auto"/>
            <w:noWrap/>
            <w:vAlign w:val="bottom"/>
            <w:hideMark/>
          </w:tcPr>
          <w:p w14:paraId="585394A3"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11 682 788</w:t>
            </w:r>
          </w:p>
        </w:tc>
        <w:tc>
          <w:tcPr>
            <w:tcW w:w="1240" w:type="dxa"/>
            <w:shd w:val="clear" w:color="auto" w:fill="auto"/>
            <w:noWrap/>
            <w:vAlign w:val="bottom"/>
            <w:hideMark/>
          </w:tcPr>
          <w:p w14:paraId="197A0523"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24 550 406</w:t>
            </w:r>
          </w:p>
        </w:tc>
        <w:tc>
          <w:tcPr>
            <w:tcW w:w="1240" w:type="dxa"/>
            <w:shd w:val="clear" w:color="auto" w:fill="auto"/>
            <w:noWrap/>
            <w:vAlign w:val="bottom"/>
            <w:hideMark/>
          </w:tcPr>
          <w:p w14:paraId="7923D3F9"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49 742 428</w:t>
            </w:r>
          </w:p>
        </w:tc>
        <w:tc>
          <w:tcPr>
            <w:tcW w:w="1240" w:type="dxa"/>
            <w:shd w:val="clear" w:color="auto" w:fill="auto"/>
            <w:noWrap/>
            <w:vAlign w:val="bottom"/>
            <w:hideMark/>
          </w:tcPr>
          <w:p w14:paraId="6E87E380"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75 496 010</w:t>
            </w:r>
          </w:p>
        </w:tc>
        <w:tc>
          <w:tcPr>
            <w:tcW w:w="1240" w:type="dxa"/>
            <w:shd w:val="clear" w:color="auto" w:fill="auto"/>
            <w:noWrap/>
            <w:vAlign w:val="bottom"/>
            <w:hideMark/>
          </w:tcPr>
          <w:p w14:paraId="6E2FA301" w14:textId="77777777" w:rsidR="00716930" w:rsidRPr="00E36F49" w:rsidRDefault="00716930" w:rsidP="001F20DC">
            <w:pPr>
              <w:spacing w:before="0" w:after="0" w:line="240" w:lineRule="auto"/>
              <w:jc w:val="right"/>
              <w:rPr>
                <w:rFonts w:ascii="Calibri" w:hAnsi="Calibri"/>
                <w:szCs w:val="20"/>
              </w:rPr>
            </w:pPr>
            <w:r w:rsidRPr="00E36F49">
              <w:rPr>
                <w:rFonts w:ascii="Calibri" w:hAnsi="Calibri"/>
                <w:szCs w:val="20"/>
              </w:rPr>
              <w:t>89 333 656</w:t>
            </w:r>
          </w:p>
        </w:tc>
      </w:tr>
      <w:tr w:rsidR="00716930" w:rsidRPr="00734439" w14:paraId="345A7376" w14:textId="77777777" w:rsidTr="00A40297">
        <w:trPr>
          <w:trHeight w:val="255"/>
        </w:trPr>
        <w:tc>
          <w:tcPr>
            <w:tcW w:w="2977" w:type="dxa"/>
            <w:shd w:val="clear" w:color="000000" w:fill="DDEBF7"/>
            <w:noWrap/>
            <w:vAlign w:val="bottom"/>
            <w:hideMark/>
          </w:tcPr>
          <w:p w14:paraId="29FB8716" w14:textId="77777777" w:rsidR="00716930" w:rsidRPr="00E36F49" w:rsidRDefault="00716930" w:rsidP="001F20DC">
            <w:pPr>
              <w:spacing w:before="0" w:after="0" w:line="240" w:lineRule="auto"/>
              <w:jc w:val="left"/>
              <w:rPr>
                <w:rFonts w:ascii="Calibri" w:hAnsi="Calibri"/>
                <w:szCs w:val="20"/>
              </w:rPr>
            </w:pPr>
            <w:r w:rsidRPr="00E36F49">
              <w:rPr>
                <w:rFonts w:ascii="Calibri" w:hAnsi="Calibri"/>
                <w:szCs w:val="20"/>
              </w:rPr>
              <w:t>Sadzba odmeny poskytovateľov EETS (brutto)</w:t>
            </w:r>
          </w:p>
        </w:tc>
        <w:tc>
          <w:tcPr>
            <w:tcW w:w="6200" w:type="dxa"/>
            <w:gridSpan w:val="5"/>
            <w:shd w:val="clear" w:color="auto" w:fill="auto"/>
            <w:noWrap/>
            <w:vAlign w:val="center"/>
            <w:hideMark/>
          </w:tcPr>
          <w:p w14:paraId="317A1A94" w14:textId="3FC025BE" w:rsidR="00716930" w:rsidRPr="00E36F49" w:rsidRDefault="00CB29DB" w:rsidP="00CB29DB">
            <w:pPr>
              <w:spacing w:before="0" w:after="0" w:line="240" w:lineRule="auto"/>
              <w:jc w:val="center"/>
              <w:rPr>
                <w:rFonts w:ascii="Calibri" w:hAnsi="Calibri"/>
                <w:szCs w:val="20"/>
              </w:rPr>
            </w:pPr>
            <w:r w:rsidRPr="00E36F49">
              <w:rPr>
                <w:rFonts w:ascii="Calibri" w:hAnsi="Calibri"/>
                <w:szCs w:val="20"/>
              </w:rPr>
              <w:t>1</w:t>
            </w:r>
            <w:r>
              <w:rPr>
                <w:rFonts w:ascii="Calibri" w:hAnsi="Calibri"/>
                <w:szCs w:val="20"/>
              </w:rPr>
              <w:t>2</w:t>
            </w:r>
            <w:r w:rsidR="00716930" w:rsidRPr="00E36F49">
              <w:rPr>
                <w:rFonts w:ascii="Calibri" w:hAnsi="Calibri"/>
                <w:szCs w:val="20"/>
              </w:rPr>
              <w:t>,</w:t>
            </w:r>
            <w:r>
              <w:rPr>
                <w:rFonts w:ascii="Calibri" w:hAnsi="Calibri"/>
                <w:szCs w:val="20"/>
              </w:rPr>
              <w:t xml:space="preserve">73 </w:t>
            </w:r>
            <w:r w:rsidR="00716930" w:rsidRPr="00E36F49">
              <w:rPr>
                <w:rFonts w:ascii="Calibri" w:hAnsi="Calibri"/>
                <w:szCs w:val="20"/>
              </w:rPr>
              <w:t>%</w:t>
            </w:r>
          </w:p>
        </w:tc>
      </w:tr>
      <w:tr w:rsidR="00CB29DB" w:rsidRPr="00734439" w14:paraId="14A40252" w14:textId="77777777" w:rsidTr="00A40297">
        <w:trPr>
          <w:trHeight w:val="255"/>
        </w:trPr>
        <w:tc>
          <w:tcPr>
            <w:tcW w:w="2977" w:type="dxa"/>
            <w:shd w:val="clear" w:color="000000" w:fill="DDEBF7"/>
            <w:noWrap/>
            <w:vAlign w:val="bottom"/>
            <w:hideMark/>
          </w:tcPr>
          <w:p w14:paraId="0D0C4B97" w14:textId="77777777" w:rsidR="00CB29DB" w:rsidRPr="00E36F49" w:rsidRDefault="00CB29DB" w:rsidP="00CB29DB">
            <w:pPr>
              <w:spacing w:before="0" w:after="0" w:line="240" w:lineRule="auto"/>
              <w:jc w:val="left"/>
              <w:rPr>
                <w:rFonts w:ascii="Calibri" w:hAnsi="Calibri"/>
                <w:szCs w:val="20"/>
              </w:rPr>
            </w:pPr>
            <w:r w:rsidRPr="00E36F49">
              <w:rPr>
                <w:rFonts w:ascii="Calibri" w:hAnsi="Calibri"/>
                <w:szCs w:val="20"/>
              </w:rPr>
              <w:t>Odmena poskytovateľov EETS (brutto)</w:t>
            </w:r>
          </w:p>
        </w:tc>
        <w:tc>
          <w:tcPr>
            <w:tcW w:w="1240" w:type="dxa"/>
            <w:shd w:val="clear" w:color="auto" w:fill="auto"/>
            <w:noWrap/>
            <w:vAlign w:val="center"/>
            <w:hideMark/>
          </w:tcPr>
          <w:p w14:paraId="2BBC8B8A" w14:textId="4974C330" w:rsidR="00CB29DB" w:rsidRPr="00E36F49" w:rsidRDefault="00CB29DB" w:rsidP="00CB29DB">
            <w:pPr>
              <w:spacing w:before="0" w:after="0" w:line="240" w:lineRule="auto"/>
              <w:jc w:val="right"/>
              <w:rPr>
                <w:rFonts w:ascii="Calibri" w:hAnsi="Calibri"/>
                <w:szCs w:val="20"/>
              </w:rPr>
            </w:pPr>
            <w:r>
              <w:rPr>
                <w:rFonts w:ascii="Calibri" w:hAnsi="Calibri" w:cs="Calibri"/>
                <w:szCs w:val="20"/>
              </w:rPr>
              <w:t>1 486 892</w:t>
            </w:r>
          </w:p>
        </w:tc>
        <w:tc>
          <w:tcPr>
            <w:tcW w:w="1240" w:type="dxa"/>
            <w:shd w:val="clear" w:color="auto" w:fill="auto"/>
            <w:noWrap/>
            <w:vAlign w:val="center"/>
            <w:hideMark/>
          </w:tcPr>
          <w:p w14:paraId="7B4202FF" w14:textId="1F70E820" w:rsidR="00CB29DB" w:rsidRPr="00E36F49" w:rsidRDefault="00CB29DB" w:rsidP="00CB29DB">
            <w:pPr>
              <w:spacing w:before="0" w:after="0" w:line="240" w:lineRule="auto"/>
              <w:jc w:val="right"/>
              <w:rPr>
                <w:rFonts w:ascii="Calibri" w:hAnsi="Calibri"/>
                <w:szCs w:val="20"/>
              </w:rPr>
            </w:pPr>
            <w:r>
              <w:rPr>
                <w:rFonts w:ascii="Calibri" w:hAnsi="Calibri" w:cs="Calibri"/>
                <w:szCs w:val="20"/>
              </w:rPr>
              <w:t>3 124 579</w:t>
            </w:r>
          </w:p>
        </w:tc>
        <w:tc>
          <w:tcPr>
            <w:tcW w:w="1240" w:type="dxa"/>
            <w:shd w:val="clear" w:color="auto" w:fill="auto"/>
            <w:noWrap/>
            <w:vAlign w:val="center"/>
            <w:hideMark/>
          </w:tcPr>
          <w:p w14:paraId="2E79F6FC" w14:textId="4985C561" w:rsidR="00CB29DB" w:rsidRPr="00E36F49" w:rsidRDefault="00CB29DB" w:rsidP="00CB29DB">
            <w:pPr>
              <w:spacing w:before="0" w:after="0" w:line="240" w:lineRule="auto"/>
              <w:jc w:val="right"/>
              <w:rPr>
                <w:rFonts w:ascii="Calibri" w:hAnsi="Calibri"/>
                <w:szCs w:val="20"/>
              </w:rPr>
            </w:pPr>
            <w:r>
              <w:rPr>
                <w:rFonts w:ascii="Calibri" w:hAnsi="Calibri" w:cs="Calibri"/>
                <w:szCs w:val="20"/>
              </w:rPr>
              <w:t>6 330 818</w:t>
            </w:r>
          </w:p>
        </w:tc>
        <w:tc>
          <w:tcPr>
            <w:tcW w:w="1240" w:type="dxa"/>
            <w:shd w:val="clear" w:color="auto" w:fill="auto"/>
            <w:noWrap/>
            <w:vAlign w:val="center"/>
            <w:hideMark/>
          </w:tcPr>
          <w:p w14:paraId="1804EF40" w14:textId="2BF1E518" w:rsidR="00CB29DB" w:rsidRPr="00E36F49" w:rsidRDefault="00CB29DB" w:rsidP="00CB29DB">
            <w:pPr>
              <w:spacing w:before="0" w:after="0" w:line="240" w:lineRule="auto"/>
              <w:jc w:val="right"/>
              <w:rPr>
                <w:rFonts w:ascii="Calibri" w:hAnsi="Calibri"/>
                <w:szCs w:val="20"/>
              </w:rPr>
            </w:pPr>
            <w:r>
              <w:rPr>
                <w:rFonts w:ascii="Calibri" w:hAnsi="Calibri" w:cs="Calibri"/>
                <w:szCs w:val="20"/>
              </w:rPr>
              <w:t>9 608 527</w:t>
            </w:r>
          </w:p>
        </w:tc>
        <w:tc>
          <w:tcPr>
            <w:tcW w:w="1240" w:type="dxa"/>
            <w:shd w:val="clear" w:color="auto" w:fill="auto"/>
            <w:noWrap/>
            <w:vAlign w:val="center"/>
            <w:hideMark/>
          </w:tcPr>
          <w:p w14:paraId="105B2B97" w14:textId="79EE8ECD" w:rsidR="00CB29DB" w:rsidRPr="00E36F49" w:rsidRDefault="00CB29DB" w:rsidP="00CB29DB">
            <w:pPr>
              <w:spacing w:before="0" w:after="0" w:line="240" w:lineRule="auto"/>
              <w:jc w:val="right"/>
              <w:rPr>
                <w:rFonts w:ascii="Calibri" w:hAnsi="Calibri"/>
                <w:szCs w:val="20"/>
              </w:rPr>
            </w:pPr>
            <w:r>
              <w:rPr>
                <w:rFonts w:ascii="Calibri" w:hAnsi="Calibri" w:cs="Calibri"/>
                <w:szCs w:val="20"/>
              </w:rPr>
              <w:t>11 369 672</w:t>
            </w:r>
          </w:p>
        </w:tc>
      </w:tr>
      <w:tr w:rsidR="00DE739A" w:rsidRPr="00734439" w14:paraId="72290CE3" w14:textId="77777777" w:rsidTr="00A40297">
        <w:trPr>
          <w:trHeight w:val="255"/>
        </w:trPr>
        <w:tc>
          <w:tcPr>
            <w:tcW w:w="2977" w:type="dxa"/>
            <w:shd w:val="clear" w:color="000000" w:fill="DDEBF7"/>
            <w:noWrap/>
            <w:vAlign w:val="bottom"/>
            <w:hideMark/>
          </w:tcPr>
          <w:p w14:paraId="72F9BBAF" w14:textId="77777777" w:rsidR="00DE739A" w:rsidRPr="00E36F49" w:rsidRDefault="00DE739A" w:rsidP="00DE739A">
            <w:pPr>
              <w:spacing w:before="0" w:after="0" w:line="240" w:lineRule="auto"/>
              <w:jc w:val="left"/>
              <w:rPr>
                <w:rFonts w:ascii="Calibri" w:hAnsi="Calibri"/>
                <w:szCs w:val="20"/>
              </w:rPr>
            </w:pPr>
            <w:r w:rsidRPr="00E36F49">
              <w:rPr>
                <w:rFonts w:ascii="Calibri" w:hAnsi="Calibri"/>
                <w:szCs w:val="20"/>
              </w:rPr>
              <w:t>Súhrn odmien poskytovateľov EETS za 5 rokov</w:t>
            </w:r>
          </w:p>
        </w:tc>
        <w:tc>
          <w:tcPr>
            <w:tcW w:w="6200" w:type="dxa"/>
            <w:gridSpan w:val="5"/>
            <w:shd w:val="clear" w:color="auto" w:fill="auto"/>
            <w:noWrap/>
            <w:vAlign w:val="center"/>
            <w:hideMark/>
          </w:tcPr>
          <w:p w14:paraId="71A215BE" w14:textId="18EB3D1A" w:rsidR="00DE739A" w:rsidRPr="00E36F49" w:rsidRDefault="00CB29DB" w:rsidP="00CB29DB">
            <w:pPr>
              <w:spacing w:before="0" w:after="0" w:line="240" w:lineRule="auto"/>
              <w:jc w:val="center"/>
              <w:rPr>
                <w:rFonts w:ascii="Calibri" w:hAnsi="Calibri"/>
                <w:szCs w:val="20"/>
              </w:rPr>
            </w:pPr>
            <w:r>
              <w:rPr>
                <w:rFonts w:ascii="Calibri" w:hAnsi="Calibri" w:cs="Calibri"/>
                <w:szCs w:val="20"/>
              </w:rPr>
              <w:t>31 920 487</w:t>
            </w:r>
          </w:p>
        </w:tc>
      </w:tr>
      <w:tr w:rsidR="00DE739A" w:rsidRPr="00734439" w14:paraId="267F9467" w14:textId="77777777" w:rsidTr="00A40297">
        <w:trPr>
          <w:trHeight w:val="255"/>
        </w:trPr>
        <w:tc>
          <w:tcPr>
            <w:tcW w:w="2977" w:type="dxa"/>
            <w:shd w:val="clear" w:color="000000" w:fill="DDEBF7"/>
            <w:noWrap/>
            <w:vAlign w:val="bottom"/>
            <w:hideMark/>
          </w:tcPr>
          <w:p w14:paraId="2BE04BD7" w14:textId="77777777" w:rsidR="00DE739A" w:rsidRPr="00E36F49" w:rsidRDefault="00DE739A" w:rsidP="00DE739A">
            <w:pPr>
              <w:spacing w:before="0" w:after="0" w:line="240" w:lineRule="auto"/>
              <w:jc w:val="left"/>
              <w:rPr>
                <w:rFonts w:ascii="Calibri" w:hAnsi="Calibri"/>
                <w:szCs w:val="20"/>
              </w:rPr>
            </w:pPr>
            <w:r w:rsidRPr="00E36F49">
              <w:rPr>
                <w:rFonts w:ascii="Calibri" w:hAnsi="Calibri"/>
                <w:szCs w:val="20"/>
              </w:rPr>
              <w:t>Celkové náklady na zavedenie a prevádzku EETS</w:t>
            </w:r>
          </w:p>
        </w:tc>
        <w:tc>
          <w:tcPr>
            <w:tcW w:w="6200" w:type="dxa"/>
            <w:gridSpan w:val="5"/>
            <w:shd w:val="clear" w:color="auto" w:fill="auto"/>
            <w:noWrap/>
            <w:vAlign w:val="center"/>
            <w:hideMark/>
          </w:tcPr>
          <w:p w14:paraId="56CA35D2" w14:textId="3F7D1DCC" w:rsidR="00DE739A" w:rsidRPr="00E36F49" w:rsidRDefault="00CB29DB" w:rsidP="00CB29DB">
            <w:pPr>
              <w:spacing w:before="0" w:after="0" w:line="240" w:lineRule="auto"/>
              <w:jc w:val="center"/>
              <w:rPr>
                <w:rFonts w:ascii="Calibri" w:hAnsi="Calibri"/>
                <w:szCs w:val="20"/>
              </w:rPr>
            </w:pPr>
            <w:r>
              <w:rPr>
                <w:rFonts w:ascii="Calibri" w:hAnsi="Calibri" w:cs="Calibri"/>
                <w:szCs w:val="20"/>
              </w:rPr>
              <w:t>10 460 922</w:t>
            </w:r>
          </w:p>
        </w:tc>
      </w:tr>
      <w:tr w:rsidR="00DE739A" w:rsidRPr="00734439" w14:paraId="49E136B1" w14:textId="77777777" w:rsidTr="00A40297">
        <w:trPr>
          <w:trHeight w:val="255"/>
        </w:trPr>
        <w:tc>
          <w:tcPr>
            <w:tcW w:w="2977" w:type="dxa"/>
            <w:shd w:val="clear" w:color="000000" w:fill="DDEBF7"/>
            <w:noWrap/>
            <w:vAlign w:val="bottom"/>
            <w:hideMark/>
          </w:tcPr>
          <w:p w14:paraId="076D0877" w14:textId="77777777" w:rsidR="00DE739A" w:rsidRPr="00E36F49" w:rsidRDefault="00DE739A" w:rsidP="00DE739A">
            <w:pPr>
              <w:spacing w:before="0" w:after="0" w:line="240" w:lineRule="auto"/>
              <w:jc w:val="left"/>
              <w:rPr>
                <w:rFonts w:ascii="Calibri" w:hAnsi="Calibri"/>
                <w:szCs w:val="20"/>
              </w:rPr>
            </w:pPr>
            <w:r w:rsidRPr="00E36F49">
              <w:rPr>
                <w:rFonts w:ascii="Calibri" w:hAnsi="Calibri"/>
                <w:szCs w:val="20"/>
              </w:rPr>
              <w:t>Alokačný koeficient nákladov EETS</w:t>
            </w:r>
          </w:p>
        </w:tc>
        <w:tc>
          <w:tcPr>
            <w:tcW w:w="6200" w:type="dxa"/>
            <w:gridSpan w:val="5"/>
            <w:shd w:val="clear" w:color="auto" w:fill="auto"/>
            <w:noWrap/>
            <w:vAlign w:val="center"/>
            <w:hideMark/>
          </w:tcPr>
          <w:p w14:paraId="7CEA76EC" w14:textId="3DECE058" w:rsidR="00DE739A" w:rsidRPr="00E36F49" w:rsidRDefault="00DE739A" w:rsidP="00CB29DB">
            <w:pPr>
              <w:spacing w:before="0" w:after="0" w:line="240" w:lineRule="auto"/>
              <w:jc w:val="center"/>
              <w:rPr>
                <w:rFonts w:ascii="Calibri" w:hAnsi="Calibri"/>
                <w:szCs w:val="20"/>
              </w:rPr>
            </w:pPr>
            <w:r>
              <w:rPr>
                <w:rFonts w:ascii="Calibri" w:hAnsi="Calibri" w:cs="Calibri"/>
                <w:szCs w:val="20"/>
              </w:rPr>
              <w:t>0,</w:t>
            </w:r>
            <w:r w:rsidR="00CB29DB">
              <w:rPr>
                <w:rFonts w:ascii="Calibri" w:hAnsi="Calibri" w:cs="Calibri"/>
                <w:szCs w:val="20"/>
              </w:rPr>
              <w:t>328</w:t>
            </w:r>
          </w:p>
        </w:tc>
      </w:tr>
      <w:tr w:rsidR="00CB29DB" w:rsidRPr="00734439" w14:paraId="2441736A" w14:textId="77777777" w:rsidTr="00A40297">
        <w:trPr>
          <w:trHeight w:val="255"/>
        </w:trPr>
        <w:tc>
          <w:tcPr>
            <w:tcW w:w="2977" w:type="dxa"/>
            <w:shd w:val="clear" w:color="000000" w:fill="DDEBF7"/>
            <w:noWrap/>
            <w:vAlign w:val="bottom"/>
            <w:hideMark/>
          </w:tcPr>
          <w:p w14:paraId="5FFC00FC" w14:textId="77777777" w:rsidR="00CB29DB" w:rsidRPr="00E36F49" w:rsidRDefault="00CB29DB" w:rsidP="00CB29DB">
            <w:pPr>
              <w:spacing w:before="0" w:after="0" w:line="240" w:lineRule="auto"/>
              <w:jc w:val="left"/>
              <w:rPr>
                <w:rFonts w:ascii="Calibri" w:hAnsi="Calibri"/>
                <w:szCs w:val="20"/>
              </w:rPr>
            </w:pPr>
            <w:r w:rsidRPr="00E36F49">
              <w:rPr>
                <w:rFonts w:ascii="Calibri" w:hAnsi="Calibri"/>
                <w:szCs w:val="20"/>
              </w:rPr>
              <w:t>Odpočet nákladov na EETS z odmeny poskytovateľov EETS</w:t>
            </w:r>
          </w:p>
        </w:tc>
        <w:tc>
          <w:tcPr>
            <w:tcW w:w="1240" w:type="dxa"/>
            <w:shd w:val="clear" w:color="auto" w:fill="auto"/>
            <w:noWrap/>
            <w:vAlign w:val="center"/>
            <w:hideMark/>
          </w:tcPr>
          <w:p w14:paraId="61BEB7D5" w14:textId="43676384" w:rsidR="00CB29DB" w:rsidRPr="00E36F49" w:rsidRDefault="00CB29DB" w:rsidP="00CB29DB">
            <w:pPr>
              <w:spacing w:before="0" w:after="0" w:line="240" w:lineRule="auto"/>
              <w:jc w:val="right"/>
              <w:rPr>
                <w:rFonts w:ascii="Calibri" w:hAnsi="Calibri"/>
                <w:szCs w:val="20"/>
              </w:rPr>
            </w:pPr>
            <w:r>
              <w:rPr>
                <w:rFonts w:ascii="Calibri" w:hAnsi="Calibri" w:cs="Calibri"/>
                <w:szCs w:val="20"/>
              </w:rPr>
              <w:t>-487 281</w:t>
            </w:r>
          </w:p>
        </w:tc>
        <w:tc>
          <w:tcPr>
            <w:tcW w:w="1240" w:type="dxa"/>
            <w:shd w:val="clear" w:color="auto" w:fill="auto"/>
            <w:noWrap/>
            <w:vAlign w:val="center"/>
            <w:hideMark/>
          </w:tcPr>
          <w:p w14:paraId="6C9F62FB" w14:textId="706186BB" w:rsidR="00CB29DB" w:rsidRPr="00E36F49" w:rsidRDefault="00CB29DB" w:rsidP="00CB29DB">
            <w:pPr>
              <w:spacing w:before="0" w:after="0" w:line="240" w:lineRule="auto"/>
              <w:jc w:val="right"/>
              <w:rPr>
                <w:rFonts w:ascii="Calibri" w:hAnsi="Calibri"/>
                <w:szCs w:val="20"/>
              </w:rPr>
            </w:pPr>
            <w:r>
              <w:rPr>
                <w:rFonts w:ascii="Calibri" w:hAnsi="Calibri" w:cs="Calibri"/>
                <w:szCs w:val="20"/>
              </w:rPr>
              <w:t>-1 023 981</w:t>
            </w:r>
          </w:p>
        </w:tc>
        <w:tc>
          <w:tcPr>
            <w:tcW w:w="1240" w:type="dxa"/>
            <w:shd w:val="clear" w:color="auto" w:fill="auto"/>
            <w:noWrap/>
            <w:vAlign w:val="center"/>
            <w:hideMark/>
          </w:tcPr>
          <w:p w14:paraId="39A53A02" w14:textId="687AB495" w:rsidR="00CB29DB" w:rsidRPr="00E36F49" w:rsidRDefault="00CB29DB" w:rsidP="00CB29DB">
            <w:pPr>
              <w:spacing w:before="0" w:after="0" w:line="240" w:lineRule="auto"/>
              <w:jc w:val="right"/>
              <w:rPr>
                <w:rFonts w:ascii="Calibri" w:hAnsi="Calibri"/>
                <w:szCs w:val="20"/>
              </w:rPr>
            </w:pPr>
            <w:r>
              <w:rPr>
                <w:rFonts w:ascii="Calibri" w:hAnsi="Calibri" w:cs="Calibri"/>
                <w:szCs w:val="20"/>
              </w:rPr>
              <w:t>-2 074 724</w:t>
            </w:r>
          </w:p>
        </w:tc>
        <w:tc>
          <w:tcPr>
            <w:tcW w:w="1240" w:type="dxa"/>
            <w:shd w:val="clear" w:color="auto" w:fill="auto"/>
            <w:noWrap/>
            <w:vAlign w:val="center"/>
            <w:hideMark/>
          </w:tcPr>
          <w:p w14:paraId="12AF3E43" w14:textId="466EB3B0" w:rsidR="00CB29DB" w:rsidRPr="00E36F49" w:rsidRDefault="00CB29DB" w:rsidP="00CB29DB">
            <w:pPr>
              <w:spacing w:before="0" w:after="0" w:line="240" w:lineRule="auto"/>
              <w:jc w:val="right"/>
              <w:rPr>
                <w:rFonts w:ascii="Calibri" w:hAnsi="Calibri"/>
                <w:szCs w:val="20"/>
              </w:rPr>
            </w:pPr>
            <w:r>
              <w:rPr>
                <w:rFonts w:ascii="Calibri" w:hAnsi="Calibri" w:cs="Calibri"/>
                <w:szCs w:val="20"/>
              </w:rPr>
              <w:t>-3 148 888</w:t>
            </w:r>
          </w:p>
        </w:tc>
        <w:tc>
          <w:tcPr>
            <w:tcW w:w="1240" w:type="dxa"/>
            <w:shd w:val="clear" w:color="auto" w:fill="auto"/>
            <w:noWrap/>
            <w:vAlign w:val="center"/>
            <w:hideMark/>
          </w:tcPr>
          <w:p w14:paraId="67F45A84" w14:textId="1FF02E92" w:rsidR="00CB29DB" w:rsidRPr="00E36F49" w:rsidRDefault="00CB29DB" w:rsidP="00CB29DB">
            <w:pPr>
              <w:spacing w:before="0" w:after="0" w:line="240" w:lineRule="auto"/>
              <w:jc w:val="right"/>
              <w:rPr>
                <w:rFonts w:ascii="Calibri" w:hAnsi="Calibri"/>
                <w:szCs w:val="20"/>
              </w:rPr>
            </w:pPr>
            <w:r>
              <w:rPr>
                <w:rFonts w:ascii="Calibri" w:hAnsi="Calibri" w:cs="Calibri"/>
                <w:szCs w:val="20"/>
              </w:rPr>
              <w:t>-3 726 047</w:t>
            </w:r>
          </w:p>
        </w:tc>
      </w:tr>
      <w:tr w:rsidR="00CB29DB" w:rsidRPr="00734439" w14:paraId="271F96FB" w14:textId="77777777" w:rsidTr="00A40297">
        <w:trPr>
          <w:trHeight w:val="255"/>
        </w:trPr>
        <w:tc>
          <w:tcPr>
            <w:tcW w:w="2977" w:type="dxa"/>
            <w:shd w:val="clear" w:color="auto" w:fill="BDD6EE" w:themeFill="accent1" w:themeFillTint="66"/>
            <w:noWrap/>
            <w:vAlign w:val="bottom"/>
            <w:hideMark/>
          </w:tcPr>
          <w:p w14:paraId="7DF56DD7" w14:textId="3004CB30" w:rsidR="00CB29DB" w:rsidRPr="00E36F49" w:rsidRDefault="003D5CA1" w:rsidP="003D5CA1">
            <w:pPr>
              <w:spacing w:before="0" w:after="0" w:line="240" w:lineRule="auto"/>
              <w:jc w:val="left"/>
              <w:rPr>
                <w:rFonts w:ascii="Calibri" w:hAnsi="Calibri"/>
                <w:szCs w:val="20"/>
              </w:rPr>
            </w:pPr>
            <w:r>
              <w:rPr>
                <w:rFonts w:ascii="Calibri" w:hAnsi="Calibri"/>
                <w:szCs w:val="20"/>
              </w:rPr>
              <w:t>Medzná o</w:t>
            </w:r>
            <w:r w:rsidR="00CB29DB" w:rsidRPr="00E36F49">
              <w:rPr>
                <w:rFonts w:ascii="Calibri" w:hAnsi="Calibri"/>
                <w:szCs w:val="20"/>
              </w:rPr>
              <w:t>dmena poskytovateľov EETS (netto)</w:t>
            </w:r>
          </w:p>
        </w:tc>
        <w:tc>
          <w:tcPr>
            <w:tcW w:w="1240" w:type="dxa"/>
            <w:shd w:val="clear" w:color="auto" w:fill="BDD6EE" w:themeFill="accent1" w:themeFillTint="66"/>
            <w:noWrap/>
            <w:vAlign w:val="center"/>
            <w:hideMark/>
          </w:tcPr>
          <w:p w14:paraId="4B83C41F" w14:textId="5C376364" w:rsidR="00CB29DB" w:rsidRPr="00E36F49" w:rsidRDefault="00CB29DB" w:rsidP="00CB29DB">
            <w:pPr>
              <w:spacing w:before="0" w:after="0" w:line="240" w:lineRule="auto"/>
              <w:jc w:val="right"/>
              <w:rPr>
                <w:rFonts w:ascii="Calibri" w:hAnsi="Calibri"/>
                <w:szCs w:val="20"/>
              </w:rPr>
            </w:pPr>
            <w:r>
              <w:rPr>
                <w:rFonts w:ascii="Calibri" w:hAnsi="Calibri" w:cs="Calibri"/>
                <w:szCs w:val="20"/>
              </w:rPr>
              <w:t>999 610</w:t>
            </w:r>
          </w:p>
        </w:tc>
        <w:tc>
          <w:tcPr>
            <w:tcW w:w="1240" w:type="dxa"/>
            <w:shd w:val="clear" w:color="auto" w:fill="BDD6EE" w:themeFill="accent1" w:themeFillTint="66"/>
            <w:noWrap/>
            <w:vAlign w:val="center"/>
            <w:hideMark/>
          </w:tcPr>
          <w:p w14:paraId="1907AC36" w14:textId="53ECD0B0" w:rsidR="00CB29DB" w:rsidRPr="00E36F49" w:rsidRDefault="00CB29DB" w:rsidP="00CB29DB">
            <w:pPr>
              <w:spacing w:before="0" w:after="0" w:line="240" w:lineRule="auto"/>
              <w:jc w:val="right"/>
              <w:rPr>
                <w:rFonts w:ascii="Calibri" w:hAnsi="Calibri"/>
                <w:szCs w:val="20"/>
              </w:rPr>
            </w:pPr>
            <w:r>
              <w:rPr>
                <w:rFonts w:ascii="Calibri" w:hAnsi="Calibri" w:cs="Calibri"/>
                <w:szCs w:val="20"/>
              </w:rPr>
              <w:t>2 100 598</w:t>
            </w:r>
          </w:p>
        </w:tc>
        <w:tc>
          <w:tcPr>
            <w:tcW w:w="1240" w:type="dxa"/>
            <w:shd w:val="clear" w:color="auto" w:fill="BDD6EE" w:themeFill="accent1" w:themeFillTint="66"/>
            <w:noWrap/>
            <w:vAlign w:val="center"/>
            <w:hideMark/>
          </w:tcPr>
          <w:p w14:paraId="56664A04" w14:textId="3F0ED637" w:rsidR="00CB29DB" w:rsidRPr="00E36F49" w:rsidRDefault="00CB29DB" w:rsidP="00CB29DB">
            <w:pPr>
              <w:spacing w:before="0" w:after="0" w:line="240" w:lineRule="auto"/>
              <w:jc w:val="right"/>
              <w:rPr>
                <w:rFonts w:ascii="Calibri" w:hAnsi="Calibri"/>
                <w:szCs w:val="20"/>
              </w:rPr>
            </w:pPr>
            <w:r>
              <w:rPr>
                <w:rFonts w:ascii="Calibri" w:hAnsi="Calibri" w:cs="Calibri"/>
                <w:szCs w:val="20"/>
              </w:rPr>
              <w:t>4 256 094</w:t>
            </w:r>
          </w:p>
        </w:tc>
        <w:tc>
          <w:tcPr>
            <w:tcW w:w="1240" w:type="dxa"/>
            <w:shd w:val="clear" w:color="auto" w:fill="BDD6EE" w:themeFill="accent1" w:themeFillTint="66"/>
            <w:noWrap/>
            <w:vAlign w:val="center"/>
            <w:hideMark/>
          </w:tcPr>
          <w:p w14:paraId="2D325059" w14:textId="373CD37F" w:rsidR="00CB29DB" w:rsidRPr="00E36F49" w:rsidRDefault="00CB29DB" w:rsidP="00CB29DB">
            <w:pPr>
              <w:spacing w:before="0" w:after="0" w:line="240" w:lineRule="auto"/>
              <w:jc w:val="right"/>
              <w:rPr>
                <w:rFonts w:ascii="Calibri" w:hAnsi="Calibri"/>
                <w:szCs w:val="20"/>
              </w:rPr>
            </w:pPr>
            <w:r>
              <w:rPr>
                <w:rFonts w:ascii="Calibri" w:hAnsi="Calibri" w:cs="Calibri"/>
                <w:szCs w:val="20"/>
              </w:rPr>
              <w:t>6 459 639</w:t>
            </w:r>
          </w:p>
        </w:tc>
        <w:tc>
          <w:tcPr>
            <w:tcW w:w="1240" w:type="dxa"/>
            <w:shd w:val="clear" w:color="auto" w:fill="BDD6EE" w:themeFill="accent1" w:themeFillTint="66"/>
            <w:noWrap/>
            <w:vAlign w:val="center"/>
            <w:hideMark/>
          </w:tcPr>
          <w:p w14:paraId="7E413873" w14:textId="338A8EF9" w:rsidR="00CB29DB" w:rsidRPr="00E36F49" w:rsidRDefault="00CB29DB" w:rsidP="00CB29DB">
            <w:pPr>
              <w:spacing w:before="0" w:after="0" w:line="240" w:lineRule="auto"/>
              <w:jc w:val="right"/>
              <w:rPr>
                <w:rFonts w:ascii="Calibri" w:hAnsi="Calibri"/>
                <w:szCs w:val="20"/>
              </w:rPr>
            </w:pPr>
            <w:r>
              <w:rPr>
                <w:rFonts w:ascii="Calibri" w:hAnsi="Calibri" w:cs="Calibri"/>
                <w:szCs w:val="20"/>
              </w:rPr>
              <w:t>7 643 624</w:t>
            </w:r>
          </w:p>
        </w:tc>
      </w:tr>
      <w:tr w:rsidR="00716930" w:rsidRPr="00734439" w14:paraId="737B2981" w14:textId="77777777" w:rsidTr="00A40297">
        <w:trPr>
          <w:trHeight w:val="255"/>
        </w:trPr>
        <w:tc>
          <w:tcPr>
            <w:tcW w:w="2977" w:type="dxa"/>
            <w:shd w:val="clear" w:color="auto" w:fill="DEEAF6" w:themeFill="accent1" w:themeFillTint="33"/>
            <w:noWrap/>
            <w:vAlign w:val="bottom"/>
            <w:hideMark/>
          </w:tcPr>
          <w:p w14:paraId="01EFD0C3" w14:textId="42F3C362" w:rsidR="00716930" w:rsidRPr="00E36F49" w:rsidRDefault="003D5CA1" w:rsidP="003D5CA1">
            <w:pPr>
              <w:spacing w:before="0" w:after="0" w:line="240" w:lineRule="auto"/>
              <w:jc w:val="left"/>
              <w:rPr>
                <w:rFonts w:ascii="Calibri" w:hAnsi="Calibri"/>
                <w:szCs w:val="20"/>
              </w:rPr>
            </w:pPr>
            <w:r>
              <w:rPr>
                <w:rFonts w:ascii="Calibri" w:hAnsi="Calibri"/>
                <w:szCs w:val="20"/>
              </w:rPr>
              <w:lastRenderedPageBreak/>
              <w:t>Medzná s</w:t>
            </w:r>
            <w:r w:rsidR="00716930" w:rsidRPr="00E36F49">
              <w:rPr>
                <w:rFonts w:ascii="Calibri" w:hAnsi="Calibri"/>
                <w:szCs w:val="20"/>
              </w:rPr>
              <w:t>adzba odmeny poskytovateľov EETS (netto)</w:t>
            </w:r>
          </w:p>
        </w:tc>
        <w:tc>
          <w:tcPr>
            <w:tcW w:w="6200" w:type="dxa"/>
            <w:gridSpan w:val="5"/>
            <w:shd w:val="clear" w:color="auto" w:fill="auto"/>
            <w:noWrap/>
            <w:vAlign w:val="center"/>
            <w:hideMark/>
          </w:tcPr>
          <w:p w14:paraId="68287771" w14:textId="1F41C26B" w:rsidR="00716930" w:rsidRPr="00E36F49" w:rsidRDefault="00CB29DB" w:rsidP="00CB29DB">
            <w:pPr>
              <w:spacing w:before="0" w:after="0" w:line="240" w:lineRule="auto"/>
              <w:jc w:val="center"/>
              <w:rPr>
                <w:rFonts w:ascii="Calibri" w:hAnsi="Calibri"/>
                <w:b/>
                <w:szCs w:val="20"/>
              </w:rPr>
            </w:pPr>
            <w:r>
              <w:rPr>
                <w:rFonts w:ascii="Calibri" w:hAnsi="Calibri"/>
                <w:b/>
                <w:szCs w:val="20"/>
              </w:rPr>
              <w:t>8</w:t>
            </w:r>
            <w:r w:rsidR="00716930" w:rsidRPr="00E36F49">
              <w:rPr>
                <w:rFonts w:ascii="Calibri" w:hAnsi="Calibri"/>
                <w:b/>
                <w:szCs w:val="20"/>
              </w:rPr>
              <w:t>,</w:t>
            </w:r>
            <w:r>
              <w:rPr>
                <w:rFonts w:ascii="Calibri" w:hAnsi="Calibri"/>
                <w:b/>
                <w:szCs w:val="20"/>
              </w:rPr>
              <w:t xml:space="preserve">56 </w:t>
            </w:r>
            <w:r w:rsidR="00716930" w:rsidRPr="00E36F49">
              <w:rPr>
                <w:rFonts w:ascii="Calibri" w:hAnsi="Calibri"/>
                <w:b/>
                <w:szCs w:val="20"/>
              </w:rPr>
              <w:t>%</w:t>
            </w:r>
          </w:p>
        </w:tc>
      </w:tr>
      <w:tr w:rsidR="003D5CA1" w14:paraId="37AB3199" w14:textId="77777777" w:rsidTr="003D5CA1">
        <w:trPr>
          <w:trHeight w:val="255"/>
        </w:trPr>
        <w:tc>
          <w:tcPr>
            <w:tcW w:w="2977"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bottom"/>
          </w:tcPr>
          <w:p w14:paraId="5EC3245B" w14:textId="77777777" w:rsidR="003D5CA1" w:rsidRDefault="003D5CA1" w:rsidP="00CD1571">
            <w:pPr>
              <w:spacing w:before="0" w:after="0" w:line="240" w:lineRule="auto"/>
              <w:jc w:val="left"/>
              <w:rPr>
                <w:rFonts w:ascii="Calibri" w:hAnsi="Calibri"/>
                <w:szCs w:val="20"/>
              </w:rPr>
            </w:pPr>
            <w:r>
              <w:rPr>
                <w:rFonts w:ascii="Calibri" w:hAnsi="Calibri"/>
                <w:szCs w:val="20"/>
              </w:rPr>
              <w:t>Odporúčaná maximálna sadzba odmeny poskytovateľov EETS</w:t>
            </w:r>
          </w:p>
        </w:tc>
        <w:tc>
          <w:tcPr>
            <w:tcW w:w="6200" w:type="dxa"/>
            <w:gridSpan w:val="5"/>
            <w:tcBorders>
              <w:top w:val="single" w:sz="4" w:space="0" w:color="808080"/>
              <w:left w:val="single" w:sz="4" w:space="0" w:color="808080"/>
              <w:bottom w:val="single" w:sz="4" w:space="0" w:color="808080"/>
              <w:right w:val="single" w:sz="4" w:space="0" w:color="808080"/>
            </w:tcBorders>
            <w:shd w:val="clear" w:color="auto" w:fill="auto"/>
            <w:noWrap/>
            <w:vAlign w:val="center"/>
          </w:tcPr>
          <w:p w14:paraId="7F569551" w14:textId="77777777" w:rsidR="003D5CA1" w:rsidRDefault="003D5CA1" w:rsidP="00CD1571">
            <w:pPr>
              <w:spacing w:before="0" w:after="0" w:line="240" w:lineRule="auto"/>
              <w:jc w:val="center"/>
              <w:rPr>
                <w:rFonts w:ascii="Calibri" w:hAnsi="Calibri"/>
                <w:b/>
                <w:szCs w:val="20"/>
              </w:rPr>
            </w:pPr>
            <w:r>
              <w:rPr>
                <w:rFonts w:ascii="Calibri" w:hAnsi="Calibri"/>
                <w:b/>
                <w:szCs w:val="20"/>
              </w:rPr>
              <w:t>6,00 %</w:t>
            </w:r>
          </w:p>
        </w:tc>
      </w:tr>
      <w:tr w:rsidR="003D5CA1" w:rsidRPr="00E36F49" w14:paraId="51C46564" w14:textId="77777777" w:rsidTr="00CD1571">
        <w:trPr>
          <w:trHeight w:val="255"/>
        </w:trPr>
        <w:tc>
          <w:tcPr>
            <w:tcW w:w="2977" w:type="dxa"/>
            <w:shd w:val="clear" w:color="auto" w:fill="BDD6EE" w:themeFill="accent1" w:themeFillTint="66"/>
            <w:noWrap/>
            <w:vAlign w:val="bottom"/>
            <w:hideMark/>
          </w:tcPr>
          <w:p w14:paraId="3D9A8716" w14:textId="77777777" w:rsidR="003D5CA1" w:rsidRPr="00E36F49" w:rsidRDefault="003D5CA1" w:rsidP="00CD1571">
            <w:pPr>
              <w:spacing w:before="0" w:after="0" w:line="240" w:lineRule="auto"/>
              <w:jc w:val="left"/>
              <w:rPr>
                <w:rFonts w:ascii="Calibri" w:hAnsi="Calibri"/>
                <w:szCs w:val="20"/>
              </w:rPr>
            </w:pPr>
            <w:r>
              <w:rPr>
                <w:rFonts w:ascii="Calibri" w:hAnsi="Calibri"/>
                <w:szCs w:val="20"/>
              </w:rPr>
              <w:t>O</w:t>
            </w:r>
            <w:r w:rsidRPr="00E36F49">
              <w:rPr>
                <w:rFonts w:ascii="Calibri" w:hAnsi="Calibri"/>
                <w:szCs w:val="20"/>
              </w:rPr>
              <w:t xml:space="preserve">dmena poskytovateľov EETS </w:t>
            </w:r>
            <w:r>
              <w:rPr>
                <w:rFonts w:ascii="Calibri" w:hAnsi="Calibri"/>
                <w:szCs w:val="20"/>
              </w:rPr>
              <w:t>stanovená na základe maximálnej odporúčanej sadzby</w:t>
            </w:r>
          </w:p>
        </w:tc>
        <w:tc>
          <w:tcPr>
            <w:tcW w:w="1240" w:type="dxa"/>
            <w:shd w:val="clear" w:color="auto" w:fill="BDD6EE" w:themeFill="accent1" w:themeFillTint="66"/>
            <w:noWrap/>
            <w:vAlign w:val="center"/>
            <w:hideMark/>
          </w:tcPr>
          <w:p w14:paraId="6C3D1BED" w14:textId="77777777" w:rsidR="003D5CA1" w:rsidRPr="00E36F49" w:rsidRDefault="003D5CA1" w:rsidP="00CD1571">
            <w:pPr>
              <w:spacing w:before="0" w:after="0" w:line="240" w:lineRule="auto"/>
              <w:jc w:val="right"/>
              <w:rPr>
                <w:rFonts w:ascii="Calibri" w:hAnsi="Calibri"/>
                <w:szCs w:val="20"/>
              </w:rPr>
            </w:pPr>
            <w:r>
              <w:rPr>
                <w:rFonts w:ascii="Calibri" w:hAnsi="Calibri" w:cs="Calibri"/>
                <w:szCs w:val="20"/>
              </w:rPr>
              <w:t>700 967</w:t>
            </w:r>
          </w:p>
        </w:tc>
        <w:tc>
          <w:tcPr>
            <w:tcW w:w="1240" w:type="dxa"/>
            <w:shd w:val="clear" w:color="auto" w:fill="BDD6EE" w:themeFill="accent1" w:themeFillTint="66"/>
            <w:noWrap/>
            <w:vAlign w:val="center"/>
            <w:hideMark/>
          </w:tcPr>
          <w:p w14:paraId="7F653121" w14:textId="77777777" w:rsidR="003D5CA1" w:rsidRPr="00E36F49" w:rsidRDefault="003D5CA1" w:rsidP="00CD1571">
            <w:pPr>
              <w:spacing w:before="0" w:after="0" w:line="240" w:lineRule="auto"/>
              <w:jc w:val="right"/>
              <w:rPr>
                <w:rFonts w:ascii="Calibri" w:hAnsi="Calibri"/>
                <w:szCs w:val="20"/>
              </w:rPr>
            </w:pPr>
            <w:r>
              <w:rPr>
                <w:rFonts w:ascii="Calibri" w:hAnsi="Calibri" w:cs="Calibri"/>
                <w:szCs w:val="20"/>
              </w:rPr>
              <w:t>1 473 024</w:t>
            </w:r>
          </w:p>
        </w:tc>
        <w:tc>
          <w:tcPr>
            <w:tcW w:w="1240" w:type="dxa"/>
            <w:shd w:val="clear" w:color="auto" w:fill="BDD6EE" w:themeFill="accent1" w:themeFillTint="66"/>
            <w:noWrap/>
            <w:vAlign w:val="center"/>
            <w:hideMark/>
          </w:tcPr>
          <w:p w14:paraId="681ABDB1" w14:textId="77777777" w:rsidR="003D5CA1" w:rsidRPr="00E36F49" w:rsidRDefault="003D5CA1" w:rsidP="00CD1571">
            <w:pPr>
              <w:spacing w:before="0" w:after="0" w:line="240" w:lineRule="auto"/>
              <w:jc w:val="right"/>
              <w:rPr>
                <w:rFonts w:ascii="Calibri" w:hAnsi="Calibri"/>
                <w:szCs w:val="20"/>
              </w:rPr>
            </w:pPr>
            <w:r>
              <w:rPr>
                <w:rFonts w:ascii="Calibri" w:hAnsi="Calibri" w:cs="Calibri"/>
                <w:szCs w:val="20"/>
              </w:rPr>
              <w:t>2 984 546</w:t>
            </w:r>
          </w:p>
        </w:tc>
        <w:tc>
          <w:tcPr>
            <w:tcW w:w="1240" w:type="dxa"/>
            <w:shd w:val="clear" w:color="auto" w:fill="BDD6EE" w:themeFill="accent1" w:themeFillTint="66"/>
            <w:noWrap/>
            <w:vAlign w:val="center"/>
            <w:hideMark/>
          </w:tcPr>
          <w:p w14:paraId="64EC0F22" w14:textId="77777777" w:rsidR="003D5CA1" w:rsidRPr="00E36F49" w:rsidRDefault="003D5CA1" w:rsidP="00CD1571">
            <w:pPr>
              <w:spacing w:before="0" w:after="0" w:line="240" w:lineRule="auto"/>
              <w:jc w:val="right"/>
              <w:rPr>
                <w:rFonts w:ascii="Calibri" w:hAnsi="Calibri"/>
                <w:szCs w:val="20"/>
              </w:rPr>
            </w:pPr>
            <w:r>
              <w:rPr>
                <w:rFonts w:ascii="Calibri" w:hAnsi="Calibri" w:cs="Calibri"/>
                <w:szCs w:val="20"/>
              </w:rPr>
              <w:t>4 529 761</w:t>
            </w:r>
          </w:p>
        </w:tc>
        <w:tc>
          <w:tcPr>
            <w:tcW w:w="1240" w:type="dxa"/>
            <w:shd w:val="clear" w:color="auto" w:fill="BDD6EE" w:themeFill="accent1" w:themeFillTint="66"/>
            <w:noWrap/>
            <w:vAlign w:val="center"/>
            <w:hideMark/>
          </w:tcPr>
          <w:p w14:paraId="4F0D7167" w14:textId="77777777" w:rsidR="003D5CA1" w:rsidRPr="00E36F49" w:rsidRDefault="003D5CA1" w:rsidP="00CD1571">
            <w:pPr>
              <w:spacing w:before="0" w:after="0" w:line="240" w:lineRule="auto"/>
              <w:jc w:val="right"/>
              <w:rPr>
                <w:rFonts w:ascii="Calibri" w:hAnsi="Calibri"/>
                <w:szCs w:val="20"/>
              </w:rPr>
            </w:pPr>
            <w:r>
              <w:rPr>
                <w:rFonts w:ascii="Calibri" w:hAnsi="Calibri" w:cs="Calibri"/>
                <w:szCs w:val="20"/>
              </w:rPr>
              <w:t>5 360 019</w:t>
            </w:r>
          </w:p>
        </w:tc>
      </w:tr>
    </w:tbl>
    <w:p w14:paraId="56F42995" w14:textId="77777777" w:rsidR="00716930" w:rsidRPr="0044648F" w:rsidRDefault="00716930" w:rsidP="00716930">
      <w:pPr>
        <w:rPr>
          <w:i/>
          <w:sz w:val="16"/>
        </w:rPr>
      </w:pPr>
      <w:r>
        <w:t xml:space="preserve"> </w:t>
      </w:r>
      <w:r w:rsidRPr="0044648F">
        <w:rPr>
          <w:i/>
          <w:sz w:val="16"/>
        </w:rPr>
        <w:t>Zdroj: výpočet z údajov v tabuľkách vyššie</w:t>
      </w:r>
    </w:p>
    <w:p w14:paraId="757306C7" w14:textId="77777777" w:rsidR="00366F12" w:rsidRDefault="00366F12" w:rsidP="00716930"/>
    <w:p w14:paraId="6097E6C0" w14:textId="7EEED185" w:rsidR="00786962" w:rsidRDefault="00B552CC" w:rsidP="00716930">
      <w:r>
        <w:t>Náklady na vybudovanie a prevádzku EETS sú pomerným spôsobom rozdelené medzi poskytovateľov EETS úmerne nimi vybranému mýtu. Rozdelenie nákladov</w:t>
      </w:r>
      <w:r w:rsidR="00786962">
        <w:t xml:space="preserve"> je naplánované tak, aby pri dodržaní parametrov ekonomického modelu variantu 2 boli náklady EETS umorené na konci 5. roka prevádzky. K rozdeleniu nákladov slúži alokačný koeficient nákladov, stanovený ako pomer:</w:t>
      </w:r>
    </w:p>
    <w:p w14:paraId="2AE8C75D" w14:textId="77777777" w:rsidR="00366F12" w:rsidRDefault="00366F12" w:rsidP="00716930"/>
    <w:p w14:paraId="77C47409" w14:textId="5C2AD713" w:rsidR="00786962" w:rsidRDefault="00FD60B7" w:rsidP="00716930">
      <m:oMathPara>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Celkové náklady na zavedenie na prevádzku EETS za 5 rokov</m:t>
              </m:r>
            </m:num>
            <m:den>
              <m:r>
                <w:rPr>
                  <w:rFonts w:ascii="Cambria Math" w:hAnsi="Cambria Math"/>
                </w:rPr>
                <m:t xml:space="preserve">Suma odmien poskytovateľov EETS </m:t>
              </m:r>
              <m:d>
                <m:dPr>
                  <m:ctrlPr>
                    <w:rPr>
                      <w:rFonts w:ascii="Cambria Math" w:hAnsi="Cambria Math"/>
                      <w:i/>
                    </w:rPr>
                  </m:ctrlPr>
                </m:dPr>
                <m:e>
                  <m:r>
                    <w:rPr>
                      <w:rFonts w:ascii="Cambria Math" w:hAnsi="Cambria Math"/>
                    </w:rPr>
                    <m:t>brutto</m:t>
                  </m:r>
                </m:e>
              </m:d>
              <m:r>
                <w:rPr>
                  <w:rFonts w:ascii="Cambria Math" w:hAnsi="Cambria Math"/>
                </w:rPr>
                <m:t>za 5 rokov</m:t>
              </m:r>
            </m:den>
          </m:f>
        </m:oMath>
      </m:oMathPara>
    </w:p>
    <w:p w14:paraId="24D39B13" w14:textId="77777777" w:rsidR="00366F12" w:rsidRDefault="00366F12" w:rsidP="00716930"/>
    <w:p w14:paraId="6FEC0C5F" w14:textId="5FA3AA92" w:rsidR="00716930" w:rsidRDefault="00716930" w:rsidP="00716930">
      <w:r>
        <w:t xml:space="preserve">Alokačný koeficient nákladov </w:t>
      </w:r>
      <w:r w:rsidR="00B552CC">
        <w:t xml:space="preserve">EETS </w:t>
      </w:r>
      <w:r>
        <w:t>0,</w:t>
      </w:r>
      <w:r w:rsidR="00CB29DB">
        <w:t xml:space="preserve">328 </w:t>
      </w:r>
      <w:r>
        <w:t>je statický a platí na obdobie 5 rokov prevádzky EETS za predpokladu dosiahnutia 35</w:t>
      </w:r>
      <w:r w:rsidR="0041408C">
        <w:t xml:space="preserve"> </w:t>
      </w:r>
      <w:r>
        <w:t>% podielu EETS na výbere slovenského cestného mýta v piatom roku prevádzky.</w:t>
      </w:r>
      <w:r w:rsidR="00786962">
        <w:t xml:space="preserve"> V reálnej prevádzke bude skutočná suma odmien poskytovateľov EETS v závislosti na vývoju dopytu a ponuky iná, než je plánovaná v ekonomickom modeli hodnoteného variantu 2</w:t>
      </w:r>
      <w:r w:rsidR="00050873">
        <w:t xml:space="preserve"> na účely tejto štúdie</w:t>
      </w:r>
      <w:r w:rsidR="00786962">
        <w:t>.</w:t>
      </w:r>
      <w:r w:rsidR="00050873">
        <w:t xml:space="preserve"> Na vyrovnanie prípadných odchýlok je možné alokačný koeficient podrobiť pravidelnej revízii na základe skutočných ekonomických výsledkov celého projektu, podobne, ako je tomu v prípade sadzieb mýta.</w:t>
      </w:r>
      <w:r w:rsidR="00786962">
        <w:t xml:space="preserve"> </w:t>
      </w:r>
    </w:p>
    <w:p w14:paraId="19E9E41B" w14:textId="77777777" w:rsidR="003D5CA1" w:rsidRDefault="003D5CA1" w:rsidP="003D5CA1">
      <w:r>
        <w:t xml:space="preserve">Po odpočítaní oprávnených nákladov Správcu výberu mýta na prevádzku EETS sa dostávame k priemernej sadzbe odmeny poskytovateľov EETS 8,56 % ich podielu na objemu vybraného mýta. Pri porovnaní takto stanovenej „ideálnej“ sadzby odmeny so sadzbami obvyklými na trhu je možno konštatovať, že sadzba odmeny je vysoká. Ak prihliadneme k celkovému ročnému objemu výberu mýta na Slovensku, potrebným počtom interoperabilných palubných jednotiek a počtom registrovaných vozidiel, máme za to, že sadzba odmeny poskytovateľov EETS by sa mala pohybovať v rozpätí medzi 4,5 % až 6,0 % z objemu vybraného mýta. </w:t>
      </w:r>
    </w:p>
    <w:p w14:paraId="3CE09CF3" w14:textId="77777777" w:rsidR="003D5CA1" w:rsidRDefault="003D5CA1" w:rsidP="003D5CA1">
      <w:pPr>
        <w:rPr>
          <w:b/>
        </w:rPr>
      </w:pPr>
      <w:r w:rsidRPr="0083643B">
        <w:rPr>
          <w:b/>
        </w:rPr>
        <w:t xml:space="preserve">S ohľadom na vyššie uvedené odporúčame stanoviť maximálnu sadzbu odmeny poskytovateľov EETS neprevyšujúcu 6,0 % z objemu vybraného mýta. </w:t>
      </w:r>
    </w:p>
    <w:p w14:paraId="0FF1F883" w14:textId="77777777" w:rsidR="003D5CA1" w:rsidRPr="0083643B" w:rsidRDefault="003D5CA1" w:rsidP="003D5CA1">
      <w:pPr>
        <w:rPr>
          <w:b/>
        </w:rPr>
      </w:pPr>
      <w:r>
        <w:t>Na účely finančnej a ekonomickej analýzy v tejto štúdii bude použitý ako kľúčový parameter pre stanovenie nákladov na zabezpečenie EETS sadzba odmeny poskytovateľov EETS rovná 6,0 % z objemu vybraného mýta.</w:t>
      </w:r>
      <w:r w:rsidRPr="0083643B">
        <w:rPr>
          <w:b/>
        </w:rPr>
        <w:t xml:space="preserve">  </w:t>
      </w:r>
    </w:p>
    <w:p w14:paraId="4C578C6B" w14:textId="2A6440C4" w:rsidR="003D5CA1" w:rsidRDefault="003D5CA1" w:rsidP="00716930"/>
    <w:p w14:paraId="5B518997" w14:textId="77777777" w:rsidR="00C01978" w:rsidRDefault="00C01978" w:rsidP="00C01978">
      <w:pPr>
        <w:pStyle w:val="Heading4"/>
      </w:pPr>
      <w:r>
        <w:t>Náklady implementácie EETS</w:t>
      </w:r>
    </w:p>
    <w:p w14:paraId="76E0B733" w14:textId="02A1681C" w:rsidR="00C01978" w:rsidRDefault="00C01978" w:rsidP="00C01978">
      <w:r>
        <w:t>Náklady implementácie EETS sú vo variant</w:t>
      </w:r>
      <w:r w:rsidR="0041408C">
        <w:t>e</w:t>
      </w:r>
      <w:r>
        <w:t xml:space="preserve"> 2 zhodné s variantom 1, viď čl. </w:t>
      </w:r>
      <w:r>
        <w:fldChar w:fldCharType="begin"/>
      </w:r>
      <w:r>
        <w:instrText xml:space="preserve"> REF _Ref71643248 \r \p \h </w:instrText>
      </w:r>
      <w:r>
        <w:fldChar w:fldCharType="separate"/>
      </w:r>
      <w:r w:rsidR="00A86720">
        <w:t>4.2.2.1 vyššie</w:t>
      </w:r>
      <w:r>
        <w:fldChar w:fldCharType="end"/>
      </w:r>
      <w:r>
        <w:t>.</w:t>
      </w:r>
    </w:p>
    <w:p w14:paraId="6CD3B325" w14:textId="1CA99B0F" w:rsidR="00C01978" w:rsidRDefault="00C01978" w:rsidP="00FA6605">
      <w:pPr>
        <w:pStyle w:val="Caption"/>
      </w:pPr>
      <w:r>
        <w:t xml:space="preserve">Tab. </w:t>
      </w:r>
      <w:r>
        <w:fldChar w:fldCharType="begin"/>
      </w:r>
      <w:r>
        <w:instrText xml:space="preserve"> SEQ Tab. \* ARABIC </w:instrText>
      </w:r>
      <w:r>
        <w:fldChar w:fldCharType="separate"/>
      </w:r>
      <w:r w:rsidR="00A86720">
        <w:rPr>
          <w:noProof/>
        </w:rPr>
        <w:t>15</w:t>
      </w:r>
      <w:r>
        <w:fldChar w:fldCharType="end"/>
      </w:r>
      <w:r>
        <w:t xml:space="preserve"> – Náklady a platobný kalendár implementácie EETS</w:t>
      </w:r>
    </w:p>
    <w:tbl>
      <w:tblPr>
        <w:tblW w:w="925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3114"/>
        <w:gridCol w:w="1240"/>
        <w:gridCol w:w="1300"/>
        <w:gridCol w:w="1200"/>
        <w:gridCol w:w="1200"/>
        <w:gridCol w:w="1200"/>
      </w:tblGrid>
      <w:tr w:rsidR="00D701C1" w:rsidRPr="00A2580E" w14:paraId="47CE9F59" w14:textId="77777777" w:rsidTr="004C66EE">
        <w:trPr>
          <w:trHeight w:val="255"/>
        </w:trPr>
        <w:tc>
          <w:tcPr>
            <w:tcW w:w="3114" w:type="dxa"/>
            <w:shd w:val="clear" w:color="000000" w:fill="BDD7EE"/>
            <w:noWrap/>
            <w:vAlign w:val="bottom"/>
            <w:hideMark/>
          </w:tcPr>
          <w:p w14:paraId="6AD1CA3D" w14:textId="77777777" w:rsidR="00D701C1" w:rsidRPr="003E2D1A" w:rsidRDefault="00D701C1" w:rsidP="004C66EE">
            <w:pPr>
              <w:spacing w:before="0" w:after="0" w:line="240" w:lineRule="auto"/>
              <w:jc w:val="left"/>
              <w:rPr>
                <w:rFonts w:ascii="Calibri" w:hAnsi="Calibri"/>
                <w:color w:val="000000"/>
                <w:szCs w:val="20"/>
              </w:rPr>
            </w:pPr>
            <w:r w:rsidRPr="003E2D1A">
              <w:rPr>
                <w:rFonts w:ascii="Calibri" w:hAnsi="Calibri"/>
                <w:color w:val="000000"/>
                <w:szCs w:val="20"/>
              </w:rPr>
              <w:t>Položka</w:t>
            </w:r>
          </w:p>
        </w:tc>
        <w:tc>
          <w:tcPr>
            <w:tcW w:w="1240" w:type="dxa"/>
            <w:shd w:val="clear" w:color="000000" w:fill="BDD7EE"/>
            <w:noWrap/>
            <w:vAlign w:val="bottom"/>
            <w:hideMark/>
          </w:tcPr>
          <w:p w14:paraId="0D488744" w14:textId="77777777" w:rsidR="00D701C1" w:rsidRPr="003E2D1A" w:rsidRDefault="00D701C1" w:rsidP="004C66EE">
            <w:pPr>
              <w:spacing w:before="0" w:after="0" w:line="240" w:lineRule="auto"/>
              <w:jc w:val="center"/>
              <w:rPr>
                <w:rFonts w:ascii="Calibri" w:hAnsi="Calibri"/>
                <w:color w:val="000000"/>
                <w:szCs w:val="20"/>
              </w:rPr>
            </w:pPr>
            <w:r w:rsidRPr="003E2D1A">
              <w:rPr>
                <w:rFonts w:ascii="Calibri" w:hAnsi="Calibri"/>
                <w:color w:val="000000"/>
                <w:szCs w:val="20"/>
              </w:rPr>
              <w:t>2022</w:t>
            </w:r>
          </w:p>
        </w:tc>
        <w:tc>
          <w:tcPr>
            <w:tcW w:w="1300" w:type="dxa"/>
            <w:shd w:val="clear" w:color="000000" w:fill="BDD7EE"/>
            <w:noWrap/>
            <w:vAlign w:val="bottom"/>
            <w:hideMark/>
          </w:tcPr>
          <w:p w14:paraId="3279EDFB" w14:textId="77777777" w:rsidR="00D701C1" w:rsidRPr="003E2D1A" w:rsidRDefault="00D701C1" w:rsidP="004C66EE">
            <w:pPr>
              <w:spacing w:before="0" w:after="0" w:line="240" w:lineRule="auto"/>
              <w:jc w:val="center"/>
              <w:rPr>
                <w:rFonts w:ascii="Calibri" w:hAnsi="Calibri"/>
                <w:color w:val="000000"/>
                <w:szCs w:val="20"/>
              </w:rPr>
            </w:pPr>
            <w:r w:rsidRPr="003E2D1A">
              <w:rPr>
                <w:rFonts w:ascii="Calibri" w:hAnsi="Calibri"/>
                <w:color w:val="000000"/>
                <w:szCs w:val="20"/>
              </w:rPr>
              <w:t>2023</w:t>
            </w:r>
          </w:p>
        </w:tc>
        <w:tc>
          <w:tcPr>
            <w:tcW w:w="1200" w:type="dxa"/>
            <w:shd w:val="clear" w:color="000000" w:fill="BDD7EE"/>
            <w:noWrap/>
            <w:vAlign w:val="bottom"/>
            <w:hideMark/>
          </w:tcPr>
          <w:p w14:paraId="0AAB8B75" w14:textId="77777777" w:rsidR="00D701C1" w:rsidRPr="003E2D1A" w:rsidRDefault="00D701C1" w:rsidP="004C66EE">
            <w:pPr>
              <w:spacing w:before="0" w:after="0" w:line="240" w:lineRule="auto"/>
              <w:jc w:val="center"/>
              <w:rPr>
                <w:rFonts w:ascii="Calibri" w:hAnsi="Calibri"/>
                <w:color w:val="000000"/>
                <w:szCs w:val="20"/>
              </w:rPr>
            </w:pPr>
            <w:r w:rsidRPr="003E2D1A">
              <w:rPr>
                <w:rFonts w:ascii="Calibri" w:hAnsi="Calibri"/>
                <w:color w:val="000000"/>
                <w:szCs w:val="20"/>
              </w:rPr>
              <w:t>2024</w:t>
            </w:r>
          </w:p>
        </w:tc>
        <w:tc>
          <w:tcPr>
            <w:tcW w:w="1200" w:type="dxa"/>
            <w:shd w:val="clear" w:color="000000" w:fill="BDD7EE"/>
            <w:noWrap/>
            <w:vAlign w:val="bottom"/>
            <w:hideMark/>
          </w:tcPr>
          <w:p w14:paraId="7211AFBD" w14:textId="77777777" w:rsidR="00D701C1" w:rsidRPr="003E2D1A" w:rsidRDefault="00D701C1" w:rsidP="004C66EE">
            <w:pPr>
              <w:spacing w:before="0" w:after="0" w:line="240" w:lineRule="auto"/>
              <w:jc w:val="center"/>
              <w:rPr>
                <w:rFonts w:ascii="Calibri" w:hAnsi="Calibri"/>
                <w:color w:val="000000"/>
                <w:szCs w:val="20"/>
              </w:rPr>
            </w:pPr>
            <w:r w:rsidRPr="003E2D1A">
              <w:rPr>
                <w:rFonts w:ascii="Calibri" w:hAnsi="Calibri"/>
                <w:color w:val="000000"/>
                <w:szCs w:val="20"/>
              </w:rPr>
              <w:t>2025</w:t>
            </w:r>
          </w:p>
        </w:tc>
        <w:tc>
          <w:tcPr>
            <w:tcW w:w="1200" w:type="dxa"/>
            <w:shd w:val="clear" w:color="000000" w:fill="BDD7EE"/>
            <w:noWrap/>
            <w:vAlign w:val="bottom"/>
            <w:hideMark/>
          </w:tcPr>
          <w:p w14:paraId="2B8FD442" w14:textId="77777777" w:rsidR="00D701C1" w:rsidRPr="003E2D1A" w:rsidRDefault="00D701C1" w:rsidP="004C66EE">
            <w:pPr>
              <w:spacing w:before="0" w:after="0" w:line="240" w:lineRule="auto"/>
              <w:jc w:val="center"/>
              <w:rPr>
                <w:rFonts w:ascii="Calibri" w:hAnsi="Calibri"/>
                <w:color w:val="000000"/>
                <w:szCs w:val="20"/>
              </w:rPr>
            </w:pPr>
            <w:r w:rsidRPr="003E2D1A">
              <w:rPr>
                <w:rFonts w:ascii="Calibri" w:hAnsi="Calibri"/>
                <w:color w:val="000000"/>
                <w:szCs w:val="20"/>
              </w:rPr>
              <w:t>2026</w:t>
            </w:r>
          </w:p>
        </w:tc>
      </w:tr>
      <w:tr w:rsidR="00D701C1" w:rsidRPr="00A2580E" w14:paraId="0D0AD9ED" w14:textId="77777777" w:rsidTr="004C66EE">
        <w:trPr>
          <w:trHeight w:val="255"/>
        </w:trPr>
        <w:tc>
          <w:tcPr>
            <w:tcW w:w="3114" w:type="dxa"/>
            <w:shd w:val="clear" w:color="auto" w:fill="DEEAF6" w:themeFill="accent1" w:themeFillTint="33"/>
            <w:noWrap/>
            <w:vAlign w:val="bottom"/>
            <w:hideMark/>
          </w:tcPr>
          <w:p w14:paraId="5CC3FC16" w14:textId="77777777" w:rsidR="00D701C1" w:rsidRPr="003E2D1A" w:rsidRDefault="00D701C1" w:rsidP="004C66EE">
            <w:pPr>
              <w:spacing w:before="0" w:after="0" w:line="240" w:lineRule="auto"/>
              <w:jc w:val="left"/>
              <w:rPr>
                <w:rFonts w:ascii="Calibri" w:hAnsi="Calibri"/>
                <w:i/>
                <w:iCs/>
                <w:color w:val="000000"/>
                <w:szCs w:val="20"/>
              </w:rPr>
            </w:pPr>
            <w:r w:rsidRPr="003E2D1A">
              <w:rPr>
                <w:rFonts w:ascii="Calibri" w:hAnsi="Calibri"/>
                <w:i/>
                <w:iCs/>
                <w:color w:val="000000"/>
                <w:szCs w:val="20"/>
              </w:rPr>
              <w:t>Počet mesiacov prevádzky, fáza I.</w:t>
            </w:r>
          </w:p>
        </w:tc>
        <w:tc>
          <w:tcPr>
            <w:tcW w:w="1240" w:type="dxa"/>
            <w:shd w:val="clear" w:color="auto" w:fill="DEEAF6" w:themeFill="accent1" w:themeFillTint="33"/>
            <w:noWrap/>
            <w:vAlign w:val="bottom"/>
            <w:hideMark/>
          </w:tcPr>
          <w:p w14:paraId="65AAC144" w14:textId="77777777" w:rsidR="00D701C1" w:rsidRPr="003E2D1A" w:rsidRDefault="00D701C1" w:rsidP="004C66EE">
            <w:pPr>
              <w:spacing w:before="0" w:after="0" w:line="240" w:lineRule="auto"/>
              <w:jc w:val="right"/>
              <w:rPr>
                <w:rFonts w:ascii="Calibri" w:hAnsi="Calibri"/>
                <w:i/>
                <w:iCs/>
                <w:color w:val="000000"/>
                <w:szCs w:val="20"/>
              </w:rPr>
            </w:pPr>
            <w:r>
              <w:rPr>
                <w:rFonts w:ascii="Calibri" w:hAnsi="Calibri"/>
                <w:i/>
                <w:iCs/>
                <w:color w:val="000000"/>
                <w:szCs w:val="20"/>
              </w:rPr>
              <w:t>12</w:t>
            </w:r>
          </w:p>
        </w:tc>
        <w:tc>
          <w:tcPr>
            <w:tcW w:w="1300" w:type="dxa"/>
            <w:shd w:val="clear" w:color="auto" w:fill="DEEAF6" w:themeFill="accent1" w:themeFillTint="33"/>
            <w:noWrap/>
            <w:vAlign w:val="bottom"/>
            <w:hideMark/>
          </w:tcPr>
          <w:p w14:paraId="62C52F68" w14:textId="77777777" w:rsidR="00D701C1" w:rsidRPr="003E2D1A" w:rsidRDefault="00D701C1" w:rsidP="004C66EE">
            <w:pPr>
              <w:spacing w:before="0" w:after="0" w:line="240" w:lineRule="auto"/>
              <w:jc w:val="right"/>
              <w:rPr>
                <w:rFonts w:ascii="Calibri" w:hAnsi="Calibri"/>
                <w:i/>
                <w:iCs/>
                <w:color w:val="000000"/>
                <w:szCs w:val="20"/>
              </w:rPr>
            </w:pPr>
            <w:r w:rsidRPr="003E2D1A">
              <w:rPr>
                <w:rFonts w:ascii="Calibri" w:hAnsi="Calibri"/>
                <w:i/>
                <w:iCs/>
                <w:color w:val="000000"/>
                <w:szCs w:val="20"/>
              </w:rPr>
              <w:t>12</w:t>
            </w:r>
          </w:p>
        </w:tc>
        <w:tc>
          <w:tcPr>
            <w:tcW w:w="1200" w:type="dxa"/>
            <w:shd w:val="clear" w:color="auto" w:fill="DEEAF6" w:themeFill="accent1" w:themeFillTint="33"/>
            <w:noWrap/>
            <w:vAlign w:val="bottom"/>
            <w:hideMark/>
          </w:tcPr>
          <w:p w14:paraId="41B8A397" w14:textId="77777777" w:rsidR="00D701C1" w:rsidRPr="003E2D1A" w:rsidRDefault="00D701C1" w:rsidP="004C66EE">
            <w:pPr>
              <w:spacing w:before="0" w:after="0" w:line="240" w:lineRule="auto"/>
              <w:jc w:val="right"/>
              <w:rPr>
                <w:rFonts w:ascii="Calibri" w:hAnsi="Calibri"/>
                <w:i/>
                <w:iCs/>
                <w:color w:val="000000"/>
                <w:szCs w:val="20"/>
              </w:rPr>
            </w:pPr>
            <w:r w:rsidRPr="003E2D1A">
              <w:rPr>
                <w:rFonts w:ascii="Calibri" w:hAnsi="Calibri"/>
                <w:i/>
                <w:iCs/>
                <w:color w:val="000000"/>
                <w:szCs w:val="20"/>
              </w:rPr>
              <w:t>12</w:t>
            </w:r>
          </w:p>
        </w:tc>
        <w:tc>
          <w:tcPr>
            <w:tcW w:w="1200" w:type="dxa"/>
            <w:shd w:val="clear" w:color="auto" w:fill="DEEAF6" w:themeFill="accent1" w:themeFillTint="33"/>
            <w:noWrap/>
            <w:vAlign w:val="bottom"/>
            <w:hideMark/>
          </w:tcPr>
          <w:p w14:paraId="6368A687" w14:textId="77777777" w:rsidR="00D701C1" w:rsidRPr="003E2D1A" w:rsidRDefault="00D701C1" w:rsidP="004C66EE">
            <w:pPr>
              <w:spacing w:before="0" w:after="0" w:line="240" w:lineRule="auto"/>
              <w:jc w:val="right"/>
              <w:rPr>
                <w:rFonts w:ascii="Calibri" w:hAnsi="Calibri"/>
                <w:i/>
                <w:iCs/>
                <w:color w:val="000000"/>
                <w:szCs w:val="20"/>
              </w:rPr>
            </w:pPr>
            <w:r w:rsidRPr="003E2D1A">
              <w:rPr>
                <w:rFonts w:ascii="Calibri" w:hAnsi="Calibri"/>
                <w:i/>
                <w:iCs/>
                <w:color w:val="000000"/>
                <w:szCs w:val="20"/>
              </w:rPr>
              <w:t>12</w:t>
            </w:r>
          </w:p>
        </w:tc>
        <w:tc>
          <w:tcPr>
            <w:tcW w:w="1200" w:type="dxa"/>
            <w:shd w:val="clear" w:color="auto" w:fill="DEEAF6" w:themeFill="accent1" w:themeFillTint="33"/>
            <w:noWrap/>
            <w:vAlign w:val="bottom"/>
            <w:hideMark/>
          </w:tcPr>
          <w:p w14:paraId="40C97E9B" w14:textId="77777777" w:rsidR="00D701C1" w:rsidRPr="003E2D1A" w:rsidRDefault="00D701C1" w:rsidP="004C66EE">
            <w:pPr>
              <w:spacing w:before="0" w:after="0" w:line="240" w:lineRule="auto"/>
              <w:jc w:val="right"/>
              <w:rPr>
                <w:rFonts w:ascii="Calibri" w:hAnsi="Calibri"/>
                <w:i/>
                <w:iCs/>
                <w:color w:val="000000"/>
                <w:szCs w:val="20"/>
              </w:rPr>
            </w:pPr>
            <w:r w:rsidRPr="003E2D1A">
              <w:rPr>
                <w:rFonts w:ascii="Calibri" w:hAnsi="Calibri"/>
                <w:i/>
                <w:iCs/>
                <w:color w:val="000000"/>
                <w:szCs w:val="20"/>
              </w:rPr>
              <w:t>12</w:t>
            </w:r>
          </w:p>
        </w:tc>
      </w:tr>
      <w:tr w:rsidR="00CB29DB" w:rsidRPr="00A2580E" w14:paraId="1A3B545D" w14:textId="77777777" w:rsidTr="004C66EE">
        <w:trPr>
          <w:trHeight w:val="255"/>
        </w:trPr>
        <w:tc>
          <w:tcPr>
            <w:tcW w:w="3114" w:type="dxa"/>
            <w:shd w:val="clear" w:color="000000" w:fill="DDEBF7"/>
            <w:noWrap/>
            <w:vAlign w:val="center"/>
            <w:hideMark/>
          </w:tcPr>
          <w:p w14:paraId="745715DD" w14:textId="77777777" w:rsidR="00CB29DB" w:rsidRPr="003E2D1A" w:rsidRDefault="00CB29DB" w:rsidP="00CB29DB">
            <w:pPr>
              <w:spacing w:before="0" w:after="0" w:line="240" w:lineRule="auto"/>
              <w:jc w:val="left"/>
              <w:rPr>
                <w:rFonts w:ascii="Calibri" w:hAnsi="Calibri"/>
                <w:color w:val="000000"/>
                <w:szCs w:val="20"/>
              </w:rPr>
            </w:pPr>
            <w:r>
              <w:rPr>
                <w:rFonts w:ascii="Calibri" w:hAnsi="Calibri" w:cs="Calibri"/>
                <w:color w:val="000000"/>
                <w:szCs w:val="20"/>
              </w:rPr>
              <w:t>Implementácia EETS</w:t>
            </w:r>
          </w:p>
        </w:tc>
        <w:tc>
          <w:tcPr>
            <w:tcW w:w="1240" w:type="dxa"/>
            <w:shd w:val="clear" w:color="auto" w:fill="auto"/>
            <w:noWrap/>
            <w:vAlign w:val="center"/>
            <w:hideMark/>
          </w:tcPr>
          <w:p w14:paraId="4BEEA50A" w14:textId="100E0653" w:rsidR="00CB29DB" w:rsidRPr="005A3DDB" w:rsidRDefault="00CB29DB" w:rsidP="00CB29DB">
            <w:pPr>
              <w:spacing w:before="0" w:after="0" w:line="240" w:lineRule="auto"/>
              <w:jc w:val="right"/>
              <w:rPr>
                <w:rFonts w:ascii="Calibri" w:hAnsi="Calibri"/>
                <w:szCs w:val="20"/>
              </w:rPr>
            </w:pPr>
            <w:r>
              <w:rPr>
                <w:rFonts w:ascii="Calibri" w:hAnsi="Calibri" w:cs="Calibri"/>
                <w:szCs w:val="20"/>
              </w:rPr>
              <w:t>5 968 558</w:t>
            </w:r>
          </w:p>
        </w:tc>
        <w:tc>
          <w:tcPr>
            <w:tcW w:w="1300" w:type="dxa"/>
            <w:shd w:val="clear" w:color="auto" w:fill="auto"/>
            <w:noWrap/>
            <w:vAlign w:val="center"/>
            <w:hideMark/>
          </w:tcPr>
          <w:p w14:paraId="1D3E3DE3" w14:textId="051544F8" w:rsidR="00CB29DB" w:rsidRPr="005A3DDB" w:rsidRDefault="00CB29DB" w:rsidP="00CB29DB">
            <w:pPr>
              <w:spacing w:before="0" w:after="0" w:line="240" w:lineRule="auto"/>
              <w:jc w:val="right"/>
              <w:rPr>
                <w:rFonts w:ascii="Calibri" w:hAnsi="Calibri"/>
                <w:szCs w:val="20"/>
              </w:rPr>
            </w:pPr>
            <w:r>
              <w:rPr>
                <w:rFonts w:ascii="Calibri" w:hAnsi="Calibri" w:cs="Calibri"/>
                <w:szCs w:val="20"/>
              </w:rPr>
              <w:t> </w:t>
            </w:r>
          </w:p>
        </w:tc>
        <w:tc>
          <w:tcPr>
            <w:tcW w:w="1200" w:type="dxa"/>
            <w:shd w:val="clear" w:color="auto" w:fill="auto"/>
            <w:noWrap/>
            <w:vAlign w:val="bottom"/>
            <w:hideMark/>
          </w:tcPr>
          <w:p w14:paraId="77D8EB5A" w14:textId="1C039505" w:rsidR="00CB29DB" w:rsidRPr="005A3DDB" w:rsidRDefault="00CB29DB" w:rsidP="00CB29DB">
            <w:pPr>
              <w:spacing w:before="0" w:after="0" w:line="240" w:lineRule="auto"/>
              <w:jc w:val="left"/>
              <w:rPr>
                <w:rFonts w:ascii="Times New Roman" w:hAnsi="Times New Roman"/>
                <w:szCs w:val="20"/>
              </w:rPr>
            </w:pPr>
            <w:r>
              <w:rPr>
                <w:szCs w:val="20"/>
              </w:rPr>
              <w:t> </w:t>
            </w:r>
          </w:p>
        </w:tc>
        <w:tc>
          <w:tcPr>
            <w:tcW w:w="1200" w:type="dxa"/>
            <w:shd w:val="clear" w:color="auto" w:fill="auto"/>
            <w:noWrap/>
            <w:vAlign w:val="bottom"/>
            <w:hideMark/>
          </w:tcPr>
          <w:p w14:paraId="57C9DD3F" w14:textId="507899C3" w:rsidR="00CB29DB" w:rsidRPr="005A3DDB" w:rsidRDefault="00CB29DB" w:rsidP="00CB29DB">
            <w:pPr>
              <w:spacing w:before="0" w:after="0" w:line="240" w:lineRule="auto"/>
              <w:jc w:val="left"/>
              <w:rPr>
                <w:rFonts w:ascii="Times New Roman" w:hAnsi="Times New Roman"/>
                <w:szCs w:val="20"/>
              </w:rPr>
            </w:pPr>
            <w:r>
              <w:rPr>
                <w:szCs w:val="20"/>
              </w:rPr>
              <w:t> </w:t>
            </w:r>
          </w:p>
        </w:tc>
        <w:tc>
          <w:tcPr>
            <w:tcW w:w="1200" w:type="dxa"/>
            <w:shd w:val="clear" w:color="auto" w:fill="auto"/>
            <w:noWrap/>
            <w:vAlign w:val="bottom"/>
            <w:hideMark/>
          </w:tcPr>
          <w:p w14:paraId="763995F8" w14:textId="3DAFA97A" w:rsidR="00CB29DB" w:rsidRPr="005A3DDB" w:rsidRDefault="00CB29DB" w:rsidP="00CB29DB">
            <w:pPr>
              <w:spacing w:before="0" w:after="0" w:line="240" w:lineRule="auto"/>
              <w:jc w:val="left"/>
              <w:rPr>
                <w:rFonts w:ascii="Times New Roman" w:hAnsi="Times New Roman"/>
                <w:szCs w:val="20"/>
              </w:rPr>
            </w:pPr>
            <w:r>
              <w:rPr>
                <w:szCs w:val="20"/>
              </w:rPr>
              <w:t> </w:t>
            </w:r>
          </w:p>
        </w:tc>
      </w:tr>
      <w:tr w:rsidR="00CB29DB" w:rsidRPr="00A2580E" w14:paraId="2A008947" w14:textId="77777777" w:rsidTr="004C66EE">
        <w:trPr>
          <w:trHeight w:val="255"/>
        </w:trPr>
        <w:tc>
          <w:tcPr>
            <w:tcW w:w="3114" w:type="dxa"/>
            <w:shd w:val="clear" w:color="000000" w:fill="DDEBF7"/>
            <w:noWrap/>
            <w:vAlign w:val="center"/>
            <w:hideMark/>
          </w:tcPr>
          <w:p w14:paraId="712044A1" w14:textId="77777777" w:rsidR="00CB29DB" w:rsidRPr="003E2D1A" w:rsidRDefault="00CB29DB" w:rsidP="00CB29DB">
            <w:pPr>
              <w:spacing w:before="0" w:after="0" w:line="240" w:lineRule="auto"/>
              <w:jc w:val="left"/>
              <w:rPr>
                <w:rFonts w:ascii="Calibri" w:hAnsi="Calibri"/>
                <w:color w:val="000000"/>
                <w:szCs w:val="20"/>
              </w:rPr>
            </w:pPr>
            <w:r>
              <w:rPr>
                <w:rFonts w:ascii="Calibri" w:hAnsi="Calibri" w:cs="Calibri"/>
                <w:color w:val="000000"/>
                <w:szCs w:val="20"/>
              </w:rPr>
              <w:t>Prevádzka EETS</w:t>
            </w:r>
          </w:p>
        </w:tc>
        <w:tc>
          <w:tcPr>
            <w:tcW w:w="1240" w:type="dxa"/>
            <w:shd w:val="clear" w:color="auto" w:fill="auto"/>
            <w:noWrap/>
            <w:vAlign w:val="center"/>
            <w:hideMark/>
          </w:tcPr>
          <w:p w14:paraId="7DF5D450" w14:textId="17058CC8" w:rsidR="00CB29DB" w:rsidRPr="005A3DDB" w:rsidRDefault="00CB29DB" w:rsidP="00CB29DB">
            <w:pPr>
              <w:spacing w:before="0" w:after="0" w:line="240" w:lineRule="auto"/>
              <w:jc w:val="right"/>
              <w:rPr>
                <w:rFonts w:ascii="Calibri" w:hAnsi="Calibri"/>
                <w:szCs w:val="20"/>
              </w:rPr>
            </w:pPr>
            <w:r>
              <w:rPr>
                <w:rFonts w:ascii="Calibri" w:hAnsi="Calibri" w:cs="Calibri"/>
                <w:szCs w:val="20"/>
              </w:rPr>
              <w:t>864 813</w:t>
            </w:r>
          </w:p>
        </w:tc>
        <w:tc>
          <w:tcPr>
            <w:tcW w:w="1300" w:type="dxa"/>
            <w:shd w:val="clear" w:color="auto" w:fill="auto"/>
            <w:noWrap/>
            <w:vAlign w:val="center"/>
            <w:hideMark/>
          </w:tcPr>
          <w:p w14:paraId="5ADEFCC5" w14:textId="4AF697DE" w:rsidR="00CB29DB" w:rsidRPr="005A3DDB" w:rsidRDefault="00CB29DB" w:rsidP="00CB29DB">
            <w:pPr>
              <w:spacing w:before="0" w:after="0" w:line="240" w:lineRule="auto"/>
              <w:jc w:val="right"/>
              <w:rPr>
                <w:rFonts w:ascii="Calibri" w:hAnsi="Calibri"/>
                <w:szCs w:val="20"/>
              </w:rPr>
            </w:pPr>
            <w:r>
              <w:rPr>
                <w:rFonts w:ascii="Calibri" w:hAnsi="Calibri" w:cs="Calibri"/>
                <w:szCs w:val="20"/>
              </w:rPr>
              <w:t>864 813</w:t>
            </w:r>
          </w:p>
        </w:tc>
        <w:tc>
          <w:tcPr>
            <w:tcW w:w="1200" w:type="dxa"/>
            <w:shd w:val="clear" w:color="auto" w:fill="auto"/>
            <w:noWrap/>
            <w:vAlign w:val="center"/>
            <w:hideMark/>
          </w:tcPr>
          <w:p w14:paraId="3793E736" w14:textId="712CF6DD" w:rsidR="00CB29DB" w:rsidRPr="005A3DDB" w:rsidRDefault="00CB29DB" w:rsidP="00CB29DB">
            <w:pPr>
              <w:spacing w:before="0" w:after="0" w:line="240" w:lineRule="auto"/>
              <w:jc w:val="right"/>
              <w:rPr>
                <w:rFonts w:ascii="Calibri" w:hAnsi="Calibri"/>
                <w:szCs w:val="20"/>
              </w:rPr>
            </w:pPr>
            <w:r>
              <w:rPr>
                <w:rFonts w:ascii="Calibri" w:hAnsi="Calibri" w:cs="Calibri"/>
                <w:szCs w:val="20"/>
              </w:rPr>
              <w:t>864 813</w:t>
            </w:r>
          </w:p>
        </w:tc>
        <w:tc>
          <w:tcPr>
            <w:tcW w:w="1200" w:type="dxa"/>
            <w:shd w:val="clear" w:color="auto" w:fill="auto"/>
            <w:noWrap/>
            <w:vAlign w:val="center"/>
            <w:hideMark/>
          </w:tcPr>
          <w:p w14:paraId="4019CDB2" w14:textId="6507669B" w:rsidR="00CB29DB" w:rsidRPr="005A3DDB" w:rsidRDefault="00CB29DB" w:rsidP="00CB29DB">
            <w:pPr>
              <w:spacing w:before="0" w:after="0" w:line="240" w:lineRule="auto"/>
              <w:jc w:val="right"/>
              <w:rPr>
                <w:rFonts w:ascii="Calibri" w:hAnsi="Calibri"/>
                <w:szCs w:val="20"/>
              </w:rPr>
            </w:pPr>
            <w:r>
              <w:rPr>
                <w:rFonts w:ascii="Calibri" w:hAnsi="Calibri" w:cs="Calibri"/>
                <w:szCs w:val="20"/>
              </w:rPr>
              <w:t>864 813</w:t>
            </w:r>
          </w:p>
        </w:tc>
        <w:tc>
          <w:tcPr>
            <w:tcW w:w="1200" w:type="dxa"/>
            <w:shd w:val="clear" w:color="auto" w:fill="auto"/>
            <w:noWrap/>
            <w:vAlign w:val="center"/>
            <w:hideMark/>
          </w:tcPr>
          <w:p w14:paraId="38F4FFA7" w14:textId="67F83EEB" w:rsidR="00CB29DB" w:rsidRPr="005A3DDB" w:rsidRDefault="00CB29DB" w:rsidP="00CB29DB">
            <w:pPr>
              <w:spacing w:before="0" w:after="0" w:line="240" w:lineRule="auto"/>
              <w:jc w:val="right"/>
              <w:rPr>
                <w:rFonts w:ascii="Calibri" w:hAnsi="Calibri"/>
                <w:szCs w:val="20"/>
              </w:rPr>
            </w:pPr>
            <w:r>
              <w:rPr>
                <w:rFonts w:ascii="Calibri" w:hAnsi="Calibri" w:cs="Calibri"/>
                <w:szCs w:val="20"/>
              </w:rPr>
              <w:t>864 813</w:t>
            </w:r>
          </w:p>
        </w:tc>
      </w:tr>
      <w:tr w:rsidR="00CB29DB" w:rsidRPr="00A2580E" w14:paraId="288BA6C2" w14:textId="77777777" w:rsidTr="004C66EE">
        <w:trPr>
          <w:trHeight w:val="255"/>
        </w:trPr>
        <w:tc>
          <w:tcPr>
            <w:tcW w:w="3114" w:type="dxa"/>
            <w:shd w:val="clear" w:color="000000" w:fill="BDD7EE"/>
            <w:noWrap/>
            <w:vAlign w:val="center"/>
            <w:hideMark/>
          </w:tcPr>
          <w:p w14:paraId="719F39F0" w14:textId="77777777" w:rsidR="00CB29DB" w:rsidRPr="005A7D49" w:rsidRDefault="00CB29DB" w:rsidP="00CB29DB">
            <w:pPr>
              <w:pStyle w:val="BodyText"/>
              <w:spacing w:before="0" w:after="0" w:line="240" w:lineRule="auto"/>
              <w:rPr>
                <w:rFonts w:asciiTheme="minorHAnsi" w:hAnsiTheme="minorHAnsi" w:cstheme="minorHAnsi"/>
                <w:lang w:val="cs-CZ"/>
              </w:rPr>
            </w:pPr>
            <w:r w:rsidRPr="005A7D49">
              <w:rPr>
                <w:rFonts w:asciiTheme="minorHAnsi" w:hAnsiTheme="minorHAnsi" w:cstheme="minorHAnsi"/>
              </w:rPr>
              <w:t>Spolu implementácia EETS</w:t>
            </w:r>
          </w:p>
        </w:tc>
        <w:tc>
          <w:tcPr>
            <w:tcW w:w="1240" w:type="dxa"/>
            <w:shd w:val="clear" w:color="000000" w:fill="BDD7EE"/>
            <w:noWrap/>
            <w:vAlign w:val="center"/>
            <w:hideMark/>
          </w:tcPr>
          <w:p w14:paraId="047EA187" w14:textId="3992ABD1" w:rsidR="00CB29DB" w:rsidRPr="005A3DDB" w:rsidRDefault="00CB29DB" w:rsidP="00CB29DB">
            <w:pPr>
              <w:spacing w:before="0" w:after="0" w:line="240" w:lineRule="auto"/>
              <w:jc w:val="right"/>
              <w:rPr>
                <w:rFonts w:ascii="Calibri" w:hAnsi="Calibri"/>
                <w:szCs w:val="20"/>
              </w:rPr>
            </w:pPr>
            <w:r>
              <w:rPr>
                <w:rFonts w:ascii="Calibri" w:hAnsi="Calibri" w:cs="Calibri"/>
                <w:color w:val="000000"/>
                <w:szCs w:val="20"/>
              </w:rPr>
              <w:t>6 833 371</w:t>
            </w:r>
          </w:p>
        </w:tc>
        <w:tc>
          <w:tcPr>
            <w:tcW w:w="1300" w:type="dxa"/>
            <w:shd w:val="clear" w:color="000000" w:fill="BDD7EE"/>
            <w:noWrap/>
            <w:vAlign w:val="center"/>
            <w:hideMark/>
          </w:tcPr>
          <w:p w14:paraId="09077CE8" w14:textId="4AD640B9" w:rsidR="00CB29DB" w:rsidRPr="005A3DDB" w:rsidRDefault="00CB29DB" w:rsidP="00CB29DB">
            <w:pPr>
              <w:spacing w:before="0" w:after="0" w:line="240" w:lineRule="auto"/>
              <w:jc w:val="right"/>
              <w:rPr>
                <w:rFonts w:ascii="Calibri" w:hAnsi="Calibri"/>
                <w:szCs w:val="20"/>
              </w:rPr>
            </w:pPr>
            <w:r>
              <w:rPr>
                <w:rFonts w:ascii="Calibri" w:hAnsi="Calibri" w:cs="Calibri"/>
                <w:color w:val="000000"/>
                <w:szCs w:val="20"/>
              </w:rPr>
              <w:t>864 813</w:t>
            </w:r>
          </w:p>
        </w:tc>
        <w:tc>
          <w:tcPr>
            <w:tcW w:w="1200" w:type="dxa"/>
            <w:shd w:val="clear" w:color="000000" w:fill="BDD7EE"/>
            <w:noWrap/>
            <w:vAlign w:val="center"/>
            <w:hideMark/>
          </w:tcPr>
          <w:p w14:paraId="7F4F80FB" w14:textId="187DE435" w:rsidR="00CB29DB" w:rsidRPr="005A3DDB" w:rsidRDefault="00CB29DB" w:rsidP="00CB29DB">
            <w:pPr>
              <w:spacing w:before="0" w:after="0" w:line="240" w:lineRule="auto"/>
              <w:jc w:val="right"/>
              <w:rPr>
                <w:rFonts w:ascii="Calibri" w:hAnsi="Calibri"/>
                <w:szCs w:val="20"/>
              </w:rPr>
            </w:pPr>
            <w:r>
              <w:rPr>
                <w:rFonts w:ascii="Calibri" w:hAnsi="Calibri" w:cs="Calibri"/>
                <w:color w:val="000000"/>
                <w:szCs w:val="20"/>
              </w:rPr>
              <w:t>864 813</w:t>
            </w:r>
          </w:p>
        </w:tc>
        <w:tc>
          <w:tcPr>
            <w:tcW w:w="1200" w:type="dxa"/>
            <w:shd w:val="clear" w:color="000000" w:fill="BDD7EE"/>
            <w:noWrap/>
            <w:vAlign w:val="center"/>
            <w:hideMark/>
          </w:tcPr>
          <w:p w14:paraId="28141FEF" w14:textId="30A8876B" w:rsidR="00CB29DB" w:rsidRPr="005A3DDB" w:rsidRDefault="00CB29DB" w:rsidP="00CB29DB">
            <w:pPr>
              <w:spacing w:before="0" w:after="0" w:line="240" w:lineRule="auto"/>
              <w:jc w:val="right"/>
              <w:rPr>
                <w:rFonts w:ascii="Calibri" w:hAnsi="Calibri"/>
                <w:szCs w:val="20"/>
              </w:rPr>
            </w:pPr>
            <w:r>
              <w:rPr>
                <w:rFonts w:ascii="Calibri" w:hAnsi="Calibri" w:cs="Calibri"/>
                <w:color w:val="000000"/>
                <w:szCs w:val="20"/>
              </w:rPr>
              <w:t>864 813</w:t>
            </w:r>
          </w:p>
        </w:tc>
        <w:tc>
          <w:tcPr>
            <w:tcW w:w="1200" w:type="dxa"/>
            <w:shd w:val="clear" w:color="000000" w:fill="BDD7EE"/>
            <w:noWrap/>
            <w:vAlign w:val="center"/>
            <w:hideMark/>
          </w:tcPr>
          <w:p w14:paraId="2719EC51" w14:textId="4C5FD642" w:rsidR="00CB29DB" w:rsidRPr="005A3DDB" w:rsidRDefault="00CB29DB" w:rsidP="00CB29DB">
            <w:pPr>
              <w:spacing w:before="0" w:after="0" w:line="240" w:lineRule="auto"/>
              <w:jc w:val="right"/>
              <w:rPr>
                <w:rFonts w:ascii="Calibri" w:hAnsi="Calibri"/>
                <w:szCs w:val="20"/>
              </w:rPr>
            </w:pPr>
            <w:r>
              <w:rPr>
                <w:rFonts w:ascii="Calibri" w:hAnsi="Calibri" w:cs="Calibri"/>
                <w:color w:val="000000"/>
                <w:szCs w:val="20"/>
              </w:rPr>
              <w:t>864 813</w:t>
            </w:r>
          </w:p>
        </w:tc>
      </w:tr>
    </w:tbl>
    <w:p w14:paraId="77067E65" w14:textId="157B5762" w:rsidR="00C01978" w:rsidRPr="005B0F95" w:rsidRDefault="00C01978" w:rsidP="00C01978">
      <w:pPr>
        <w:rPr>
          <w:i/>
        </w:rPr>
      </w:pPr>
      <w:r w:rsidRPr="005B0F95">
        <w:rPr>
          <w:i/>
          <w:sz w:val="16"/>
        </w:rPr>
        <w:t>Zdroj: Návrh SkyToll</w:t>
      </w:r>
    </w:p>
    <w:p w14:paraId="33B40748" w14:textId="103FBBAF" w:rsidR="0095621D" w:rsidRPr="009A31C2" w:rsidRDefault="0095621D" w:rsidP="009A31C2"/>
    <w:p w14:paraId="406AE927" w14:textId="7379D82E" w:rsidR="003068C9" w:rsidRDefault="003068C9" w:rsidP="003068C9">
      <w:pPr>
        <w:pStyle w:val="Heading4"/>
      </w:pPr>
      <w:r>
        <w:t>Zhrnutie nákladových položiek</w:t>
      </w:r>
    </w:p>
    <w:p w14:paraId="607F5A4D" w14:textId="392E3393" w:rsidR="003068C9" w:rsidRDefault="003068C9" w:rsidP="003068C9">
      <w:r>
        <w:t>Do kalkulácie nákladov projektu vo variant</w:t>
      </w:r>
      <w:r w:rsidR="007075EA">
        <w:t>e</w:t>
      </w:r>
      <w:r>
        <w:t xml:space="preserve"> </w:t>
      </w:r>
      <w:r w:rsidR="00C01978">
        <w:t>2</w:t>
      </w:r>
      <w:r>
        <w:t xml:space="preserve"> je zahrnutá cena </w:t>
      </w:r>
      <w:r w:rsidR="002D787E">
        <w:t xml:space="preserve">a odmeny </w:t>
      </w:r>
      <w:r>
        <w:t xml:space="preserve">za služby SkyToll, náklady realizácie projektu, ďalej cena za služby </w:t>
      </w:r>
      <w:r w:rsidR="002D787E">
        <w:t>clearingového centra a platobnej infraštruktúry</w:t>
      </w:r>
      <w:r>
        <w:t xml:space="preserve">, cena za služby nezávislého znalca podľa príslušnej zmluvy </w:t>
      </w:r>
      <w:r w:rsidR="007075EA">
        <w:t xml:space="preserve">a </w:t>
      </w:r>
      <w:r>
        <w:t>odmeny poskytovateľov EETS, ktorí sa budú podieľať na výberu mýta.</w:t>
      </w:r>
    </w:p>
    <w:p w14:paraId="10B833B6" w14:textId="1AABEDD4" w:rsidR="003068C9" w:rsidRDefault="003068C9" w:rsidP="003068C9">
      <w:r>
        <w:t xml:space="preserve">Celkové náklady variantu </w:t>
      </w:r>
      <w:r w:rsidR="00075021">
        <w:t xml:space="preserve">2 </w:t>
      </w:r>
      <w:r>
        <w:t>sú uvedené v tabuľke nižšie, všetky nákladové položky sú valorizované na cenovú úroveň roka 2021.</w:t>
      </w:r>
    </w:p>
    <w:p w14:paraId="50CF90AB" w14:textId="77777777" w:rsidR="00366F12" w:rsidRDefault="00366F12" w:rsidP="003068C9"/>
    <w:p w14:paraId="14674790" w14:textId="43BB51C8" w:rsidR="003068C9" w:rsidRDefault="003068C9" w:rsidP="00FA6605">
      <w:pPr>
        <w:pStyle w:val="Caption"/>
      </w:pPr>
      <w:r>
        <w:t xml:space="preserve">Tab. </w:t>
      </w:r>
      <w:r>
        <w:fldChar w:fldCharType="begin"/>
      </w:r>
      <w:r>
        <w:instrText xml:space="preserve"> SEQ Tab. \* ARABIC </w:instrText>
      </w:r>
      <w:r>
        <w:fldChar w:fldCharType="separate"/>
      </w:r>
      <w:r w:rsidR="00A86720">
        <w:rPr>
          <w:noProof/>
        </w:rPr>
        <w:t>16</w:t>
      </w:r>
      <w:r>
        <w:fldChar w:fldCharType="end"/>
      </w:r>
      <w:r>
        <w:t xml:space="preserve"> - Náklady, variant </w:t>
      </w:r>
      <w:r w:rsidR="00075021">
        <w:t>2</w:t>
      </w:r>
    </w:p>
    <w:tbl>
      <w:tblPr>
        <w:tblW w:w="92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552"/>
        <w:gridCol w:w="1110"/>
        <w:gridCol w:w="1110"/>
        <w:gridCol w:w="1111"/>
        <w:gridCol w:w="1110"/>
        <w:gridCol w:w="1110"/>
        <w:gridCol w:w="1111"/>
      </w:tblGrid>
      <w:tr w:rsidR="001F20DC" w:rsidRPr="0037598E" w14:paraId="7F65BCCA" w14:textId="77777777" w:rsidTr="00A40297">
        <w:trPr>
          <w:trHeight w:val="255"/>
        </w:trPr>
        <w:tc>
          <w:tcPr>
            <w:tcW w:w="2552" w:type="dxa"/>
            <w:shd w:val="clear" w:color="000000" w:fill="BDD7EE"/>
            <w:noWrap/>
            <w:vAlign w:val="center"/>
            <w:hideMark/>
          </w:tcPr>
          <w:p w14:paraId="4FE7148E" w14:textId="77777777" w:rsidR="001F20DC" w:rsidRPr="00281A01" w:rsidRDefault="001F20DC" w:rsidP="001F20DC">
            <w:pPr>
              <w:spacing w:before="0" w:after="0" w:line="240" w:lineRule="auto"/>
              <w:jc w:val="center"/>
              <w:rPr>
                <w:rFonts w:ascii="Calibri" w:hAnsi="Calibri"/>
                <w:color w:val="000000"/>
                <w:szCs w:val="20"/>
              </w:rPr>
            </w:pPr>
            <w:r>
              <w:rPr>
                <w:rFonts w:ascii="Calibri" w:hAnsi="Calibri"/>
                <w:color w:val="000000"/>
                <w:szCs w:val="20"/>
              </w:rPr>
              <w:t>P</w:t>
            </w:r>
            <w:r w:rsidRPr="00281A01">
              <w:rPr>
                <w:rFonts w:ascii="Calibri" w:hAnsi="Calibri"/>
                <w:color w:val="000000"/>
                <w:szCs w:val="20"/>
              </w:rPr>
              <w:t>oložka</w:t>
            </w:r>
          </w:p>
        </w:tc>
        <w:tc>
          <w:tcPr>
            <w:tcW w:w="1110" w:type="dxa"/>
            <w:shd w:val="clear" w:color="000000" w:fill="BDD7EE"/>
            <w:noWrap/>
            <w:vAlign w:val="center"/>
            <w:hideMark/>
          </w:tcPr>
          <w:p w14:paraId="6F0C77A1" w14:textId="77777777" w:rsidR="001F20DC" w:rsidRPr="00281A01" w:rsidRDefault="001F20DC" w:rsidP="001F20DC">
            <w:pPr>
              <w:spacing w:before="0" w:after="0" w:line="240" w:lineRule="auto"/>
              <w:jc w:val="center"/>
              <w:rPr>
                <w:rFonts w:ascii="Calibri" w:hAnsi="Calibri"/>
                <w:color w:val="000000"/>
                <w:szCs w:val="20"/>
              </w:rPr>
            </w:pPr>
            <w:r w:rsidRPr="0037598E">
              <w:rPr>
                <w:rFonts w:ascii="Calibri" w:hAnsi="Calibri"/>
                <w:color w:val="000000"/>
                <w:szCs w:val="20"/>
              </w:rPr>
              <w:t>Náklady zavedenia zmeny</w:t>
            </w:r>
          </w:p>
        </w:tc>
        <w:tc>
          <w:tcPr>
            <w:tcW w:w="1110" w:type="dxa"/>
            <w:shd w:val="clear" w:color="000000" w:fill="BDD7EE"/>
            <w:noWrap/>
            <w:vAlign w:val="center"/>
            <w:hideMark/>
          </w:tcPr>
          <w:p w14:paraId="4C5658D8" w14:textId="77777777" w:rsidR="001F20DC" w:rsidRPr="00281A01" w:rsidRDefault="001F20DC" w:rsidP="001F20DC">
            <w:pPr>
              <w:spacing w:before="0" w:after="0" w:line="240" w:lineRule="auto"/>
              <w:jc w:val="center"/>
              <w:rPr>
                <w:rFonts w:ascii="Calibri" w:hAnsi="Calibri"/>
                <w:color w:val="000000"/>
                <w:szCs w:val="20"/>
              </w:rPr>
            </w:pPr>
            <w:r w:rsidRPr="00281A01">
              <w:rPr>
                <w:rFonts w:ascii="Calibri" w:hAnsi="Calibri"/>
                <w:color w:val="000000"/>
                <w:szCs w:val="20"/>
              </w:rPr>
              <w:t>2022</w:t>
            </w:r>
          </w:p>
        </w:tc>
        <w:tc>
          <w:tcPr>
            <w:tcW w:w="1111" w:type="dxa"/>
            <w:shd w:val="clear" w:color="000000" w:fill="BDD7EE"/>
            <w:noWrap/>
            <w:vAlign w:val="center"/>
            <w:hideMark/>
          </w:tcPr>
          <w:p w14:paraId="279B2BF7" w14:textId="77777777" w:rsidR="001F20DC" w:rsidRPr="00281A01" w:rsidRDefault="001F20DC" w:rsidP="001F20DC">
            <w:pPr>
              <w:spacing w:before="0" w:after="0" w:line="240" w:lineRule="auto"/>
              <w:jc w:val="center"/>
              <w:rPr>
                <w:rFonts w:ascii="Calibri" w:hAnsi="Calibri"/>
                <w:color w:val="000000"/>
                <w:szCs w:val="20"/>
              </w:rPr>
            </w:pPr>
            <w:r w:rsidRPr="00281A01">
              <w:rPr>
                <w:rFonts w:ascii="Calibri" w:hAnsi="Calibri"/>
                <w:color w:val="000000"/>
                <w:szCs w:val="20"/>
              </w:rPr>
              <w:t>2023</w:t>
            </w:r>
          </w:p>
        </w:tc>
        <w:tc>
          <w:tcPr>
            <w:tcW w:w="1110" w:type="dxa"/>
            <w:shd w:val="clear" w:color="000000" w:fill="BDD7EE"/>
            <w:noWrap/>
            <w:vAlign w:val="center"/>
            <w:hideMark/>
          </w:tcPr>
          <w:p w14:paraId="06F25FE0" w14:textId="77777777" w:rsidR="001F20DC" w:rsidRPr="00281A01" w:rsidRDefault="001F20DC" w:rsidP="001F20DC">
            <w:pPr>
              <w:spacing w:before="0" w:after="0" w:line="240" w:lineRule="auto"/>
              <w:jc w:val="center"/>
              <w:rPr>
                <w:rFonts w:ascii="Calibri" w:hAnsi="Calibri"/>
                <w:color w:val="000000"/>
                <w:szCs w:val="20"/>
              </w:rPr>
            </w:pPr>
            <w:r w:rsidRPr="00281A01">
              <w:rPr>
                <w:rFonts w:ascii="Calibri" w:hAnsi="Calibri"/>
                <w:color w:val="000000"/>
                <w:szCs w:val="20"/>
              </w:rPr>
              <w:t>2024</w:t>
            </w:r>
          </w:p>
        </w:tc>
        <w:tc>
          <w:tcPr>
            <w:tcW w:w="1110" w:type="dxa"/>
            <w:shd w:val="clear" w:color="000000" w:fill="BDD7EE"/>
            <w:noWrap/>
            <w:vAlign w:val="center"/>
            <w:hideMark/>
          </w:tcPr>
          <w:p w14:paraId="1B54D03F" w14:textId="77777777" w:rsidR="001F20DC" w:rsidRPr="00281A01" w:rsidRDefault="001F20DC" w:rsidP="001F20DC">
            <w:pPr>
              <w:spacing w:before="0" w:after="0" w:line="240" w:lineRule="auto"/>
              <w:jc w:val="center"/>
              <w:rPr>
                <w:rFonts w:ascii="Calibri" w:hAnsi="Calibri"/>
                <w:color w:val="000000"/>
                <w:szCs w:val="20"/>
              </w:rPr>
            </w:pPr>
            <w:r w:rsidRPr="00281A01">
              <w:rPr>
                <w:rFonts w:ascii="Calibri" w:hAnsi="Calibri"/>
                <w:color w:val="000000"/>
                <w:szCs w:val="20"/>
              </w:rPr>
              <w:t>2025</w:t>
            </w:r>
          </w:p>
        </w:tc>
        <w:tc>
          <w:tcPr>
            <w:tcW w:w="1111" w:type="dxa"/>
            <w:shd w:val="clear" w:color="000000" w:fill="BDD7EE"/>
            <w:noWrap/>
            <w:vAlign w:val="center"/>
            <w:hideMark/>
          </w:tcPr>
          <w:p w14:paraId="1FC5B963" w14:textId="77777777" w:rsidR="001F20DC" w:rsidRPr="00281A01" w:rsidRDefault="001F20DC" w:rsidP="001F20DC">
            <w:pPr>
              <w:spacing w:before="0" w:after="0" w:line="240" w:lineRule="auto"/>
              <w:jc w:val="center"/>
              <w:rPr>
                <w:rFonts w:ascii="Calibri" w:hAnsi="Calibri"/>
                <w:color w:val="000000"/>
                <w:szCs w:val="20"/>
              </w:rPr>
            </w:pPr>
            <w:r w:rsidRPr="00281A01">
              <w:rPr>
                <w:rFonts w:ascii="Calibri" w:hAnsi="Calibri"/>
                <w:color w:val="000000"/>
                <w:szCs w:val="20"/>
              </w:rPr>
              <w:t>2026</w:t>
            </w:r>
          </w:p>
        </w:tc>
      </w:tr>
      <w:tr w:rsidR="00703EEF" w:rsidRPr="0037598E" w14:paraId="7A6A64D7" w14:textId="77777777" w:rsidTr="00471DFC">
        <w:trPr>
          <w:trHeight w:val="255"/>
        </w:trPr>
        <w:tc>
          <w:tcPr>
            <w:tcW w:w="2552" w:type="dxa"/>
            <w:shd w:val="clear" w:color="000000" w:fill="DDEBF7"/>
            <w:noWrap/>
            <w:vAlign w:val="center"/>
            <w:hideMark/>
          </w:tcPr>
          <w:p w14:paraId="7D088990" w14:textId="049CA0B1" w:rsidR="00703EEF" w:rsidRPr="00281A01" w:rsidRDefault="00703EEF" w:rsidP="00703EEF">
            <w:pPr>
              <w:spacing w:before="0" w:after="0" w:line="240" w:lineRule="auto"/>
              <w:jc w:val="left"/>
              <w:rPr>
                <w:rFonts w:ascii="Calibri" w:hAnsi="Calibri"/>
                <w:color w:val="000000"/>
                <w:szCs w:val="20"/>
              </w:rPr>
            </w:pPr>
            <w:r>
              <w:rPr>
                <w:rFonts w:ascii="Calibri" w:hAnsi="Calibri" w:cs="Calibri"/>
                <w:color w:val="000000"/>
                <w:szCs w:val="20"/>
              </w:rPr>
              <w:t>Komplexná služba ETC</w:t>
            </w:r>
          </w:p>
        </w:tc>
        <w:tc>
          <w:tcPr>
            <w:tcW w:w="1110" w:type="dxa"/>
            <w:shd w:val="clear" w:color="auto" w:fill="auto"/>
            <w:noWrap/>
            <w:vAlign w:val="center"/>
            <w:hideMark/>
          </w:tcPr>
          <w:p w14:paraId="4B926700" w14:textId="6AE045A3"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0</w:t>
            </w:r>
          </w:p>
        </w:tc>
        <w:tc>
          <w:tcPr>
            <w:tcW w:w="1110" w:type="dxa"/>
            <w:shd w:val="clear" w:color="auto" w:fill="auto"/>
            <w:noWrap/>
            <w:vAlign w:val="center"/>
            <w:hideMark/>
          </w:tcPr>
          <w:p w14:paraId="4A86576C" w14:textId="7B21C0B0"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60 030 781</w:t>
            </w:r>
          </w:p>
        </w:tc>
        <w:tc>
          <w:tcPr>
            <w:tcW w:w="1111" w:type="dxa"/>
            <w:shd w:val="clear" w:color="auto" w:fill="auto"/>
            <w:noWrap/>
            <w:vAlign w:val="center"/>
            <w:hideMark/>
          </w:tcPr>
          <w:p w14:paraId="1ED49DB5" w14:textId="27C90372"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58 258 154</w:t>
            </w:r>
          </w:p>
        </w:tc>
        <w:tc>
          <w:tcPr>
            <w:tcW w:w="1110" w:type="dxa"/>
            <w:shd w:val="clear" w:color="auto" w:fill="auto"/>
            <w:noWrap/>
            <w:vAlign w:val="center"/>
            <w:hideMark/>
          </w:tcPr>
          <w:p w14:paraId="5DB2E991" w14:textId="462A6C6B"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56 052 087</w:t>
            </w:r>
          </w:p>
        </w:tc>
        <w:tc>
          <w:tcPr>
            <w:tcW w:w="1110" w:type="dxa"/>
            <w:shd w:val="clear" w:color="auto" w:fill="auto"/>
            <w:noWrap/>
            <w:vAlign w:val="center"/>
            <w:hideMark/>
          </w:tcPr>
          <w:p w14:paraId="33B73E16" w14:textId="38B07B26"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54 465 413</w:t>
            </w:r>
          </w:p>
        </w:tc>
        <w:tc>
          <w:tcPr>
            <w:tcW w:w="1111" w:type="dxa"/>
            <w:shd w:val="clear" w:color="auto" w:fill="auto"/>
            <w:noWrap/>
            <w:vAlign w:val="center"/>
            <w:hideMark/>
          </w:tcPr>
          <w:p w14:paraId="17D5A6BD" w14:textId="4048E721" w:rsidR="00703EEF" w:rsidRPr="00281A01" w:rsidRDefault="00703EEF" w:rsidP="00703EEF">
            <w:pPr>
              <w:spacing w:before="0" w:after="0" w:line="240" w:lineRule="auto"/>
              <w:jc w:val="right"/>
              <w:rPr>
                <w:rFonts w:ascii="Calibri" w:hAnsi="Calibri"/>
                <w:color w:val="000000"/>
                <w:szCs w:val="20"/>
              </w:rPr>
            </w:pPr>
            <w:r>
              <w:rPr>
                <w:rFonts w:ascii="Calibri" w:hAnsi="Calibri" w:cs="Calibri"/>
                <w:color w:val="000000"/>
                <w:szCs w:val="20"/>
              </w:rPr>
              <w:t>53 800 092</w:t>
            </w:r>
          </w:p>
        </w:tc>
      </w:tr>
      <w:tr w:rsidR="006F35CF" w:rsidRPr="0037598E" w14:paraId="6645FA45" w14:textId="77777777" w:rsidTr="00A40297">
        <w:trPr>
          <w:trHeight w:val="255"/>
        </w:trPr>
        <w:tc>
          <w:tcPr>
            <w:tcW w:w="2552" w:type="dxa"/>
            <w:shd w:val="clear" w:color="000000" w:fill="DDEBF7"/>
            <w:noWrap/>
            <w:vAlign w:val="bottom"/>
            <w:hideMark/>
          </w:tcPr>
          <w:p w14:paraId="15250701" w14:textId="77777777" w:rsidR="006F35CF" w:rsidRPr="00281A01" w:rsidRDefault="006F35CF" w:rsidP="006F35CF">
            <w:pPr>
              <w:spacing w:before="0" w:after="0" w:line="240" w:lineRule="auto"/>
              <w:jc w:val="left"/>
              <w:rPr>
                <w:rFonts w:ascii="Calibri" w:hAnsi="Calibri"/>
                <w:color w:val="000000"/>
                <w:szCs w:val="20"/>
              </w:rPr>
            </w:pPr>
            <w:r w:rsidRPr="00281A01">
              <w:rPr>
                <w:rFonts w:ascii="Calibri" w:hAnsi="Calibri"/>
                <w:color w:val="000000"/>
                <w:szCs w:val="20"/>
              </w:rPr>
              <w:t>Implementácia EETS</w:t>
            </w:r>
          </w:p>
        </w:tc>
        <w:tc>
          <w:tcPr>
            <w:tcW w:w="1110" w:type="dxa"/>
            <w:shd w:val="clear" w:color="auto" w:fill="auto"/>
            <w:noWrap/>
            <w:vAlign w:val="center"/>
            <w:hideMark/>
          </w:tcPr>
          <w:p w14:paraId="488A734D" w14:textId="4680BCD1" w:rsidR="006F35CF" w:rsidRPr="00281A01" w:rsidRDefault="006F35CF" w:rsidP="006F35CF">
            <w:pPr>
              <w:spacing w:before="0" w:after="0" w:line="240" w:lineRule="auto"/>
              <w:jc w:val="right"/>
              <w:rPr>
                <w:rFonts w:ascii="Calibri" w:hAnsi="Calibri"/>
                <w:color w:val="000000"/>
                <w:szCs w:val="20"/>
              </w:rPr>
            </w:pPr>
            <w:r>
              <w:rPr>
                <w:rFonts w:ascii="Calibri" w:hAnsi="Calibri" w:cs="Calibri"/>
                <w:szCs w:val="20"/>
              </w:rPr>
              <w:t>3 177 268</w:t>
            </w:r>
          </w:p>
        </w:tc>
        <w:tc>
          <w:tcPr>
            <w:tcW w:w="1110" w:type="dxa"/>
            <w:shd w:val="clear" w:color="auto" w:fill="auto"/>
            <w:noWrap/>
            <w:vAlign w:val="center"/>
            <w:hideMark/>
          </w:tcPr>
          <w:p w14:paraId="027624D2" w14:textId="53D87B49" w:rsidR="006F35CF" w:rsidRPr="00281A01" w:rsidRDefault="006F35CF" w:rsidP="006F35CF">
            <w:pPr>
              <w:spacing w:before="0" w:after="0" w:line="240" w:lineRule="auto"/>
              <w:jc w:val="right"/>
              <w:rPr>
                <w:rFonts w:ascii="Calibri" w:hAnsi="Calibri"/>
                <w:color w:val="000000"/>
                <w:szCs w:val="20"/>
              </w:rPr>
            </w:pPr>
            <w:r>
              <w:rPr>
                <w:rFonts w:ascii="Calibri" w:hAnsi="Calibri" w:cs="Calibri"/>
                <w:szCs w:val="20"/>
              </w:rPr>
              <w:t>2 791 290</w:t>
            </w:r>
          </w:p>
        </w:tc>
        <w:tc>
          <w:tcPr>
            <w:tcW w:w="1111" w:type="dxa"/>
            <w:shd w:val="clear" w:color="auto" w:fill="auto"/>
            <w:noWrap/>
            <w:vAlign w:val="center"/>
            <w:hideMark/>
          </w:tcPr>
          <w:p w14:paraId="096F4996" w14:textId="0C6CBF1C" w:rsidR="006F35CF" w:rsidRPr="00281A01" w:rsidRDefault="006F35CF" w:rsidP="006F35CF">
            <w:pPr>
              <w:spacing w:before="0" w:after="0" w:line="240" w:lineRule="auto"/>
              <w:jc w:val="right"/>
              <w:rPr>
                <w:rFonts w:ascii="Calibri" w:hAnsi="Calibri"/>
                <w:color w:val="000000"/>
                <w:szCs w:val="20"/>
              </w:rPr>
            </w:pPr>
            <w:r>
              <w:rPr>
                <w:rFonts w:ascii="Calibri" w:hAnsi="Calibri" w:cs="Calibri"/>
                <w:szCs w:val="20"/>
              </w:rPr>
              <w:t> </w:t>
            </w:r>
          </w:p>
        </w:tc>
        <w:tc>
          <w:tcPr>
            <w:tcW w:w="1110" w:type="dxa"/>
            <w:shd w:val="clear" w:color="auto" w:fill="auto"/>
            <w:noWrap/>
            <w:vAlign w:val="center"/>
            <w:hideMark/>
          </w:tcPr>
          <w:p w14:paraId="0D66A2F0" w14:textId="42EC5C81" w:rsidR="006F35CF" w:rsidRPr="00281A01" w:rsidRDefault="006F35CF" w:rsidP="006F35CF">
            <w:pPr>
              <w:spacing w:before="0" w:after="0" w:line="240" w:lineRule="auto"/>
              <w:jc w:val="right"/>
              <w:rPr>
                <w:rFonts w:ascii="Calibri" w:hAnsi="Calibri"/>
                <w:color w:val="000000"/>
                <w:szCs w:val="20"/>
              </w:rPr>
            </w:pPr>
            <w:r>
              <w:rPr>
                <w:rFonts w:ascii="Calibri" w:hAnsi="Calibri" w:cs="Calibri"/>
                <w:szCs w:val="20"/>
              </w:rPr>
              <w:t> </w:t>
            </w:r>
          </w:p>
        </w:tc>
        <w:tc>
          <w:tcPr>
            <w:tcW w:w="1110" w:type="dxa"/>
            <w:shd w:val="clear" w:color="auto" w:fill="auto"/>
            <w:noWrap/>
            <w:vAlign w:val="center"/>
            <w:hideMark/>
          </w:tcPr>
          <w:p w14:paraId="35859870" w14:textId="00A597B6" w:rsidR="006F35CF" w:rsidRPr="00281A01" w:rsidRDefault="006F35CF" w:rsidP="006F35CF">
            <w:pPr>
              <w:spacing w:before="0" w:after="0" w:line="240" w:lineRule="auto"/>
              <w:jc w:val="right"/>
              <w:rPr>
                <w:rFonts w:ascii="Calibri" w:hAnsi="Calibri"/>
                <w:color w:val="000000"/>
                <w:szCs w:val="20"/>
              </w:rPr>
            </w:pPr>
            <w:r>
              <w:rPr>
                <w:rFonts w:ascii="Calibri" w:hAnsi="Calibri" w:cs="Calibri"/>
                <w:szCs w:val="20"/>
              </w:rPr>
              <w:t> </w:t>
            </w:r>
          </w:p>
        </w:tc>
        <w:tc>
          <w:tcPr>
            <w:tcW w:w="1111" w:type="dxa"/>
            <w:shd w:val="clear" w:color="auto" w:fill="auto"/>
            <w:noWrap/>
            <w:vAlign w:val="center"/>
            <w:hideMark/>
          </w:tcPr>
          <w:p w14:paraId="6135C150" w14:textId="6BB9C23C" w:rsidR="006F35CF" w:rsidRPr="00281A01" w:rsidRDefault="006F35CF" w:rsidP="006F35CF">
            <w:pPr>
              <w:spacing w:before="0" w:after="0" w:line="240" w:lineRule="auto"/>
              <w:jc w:val="right"/>
              <w:rPr>
                <w:rFonts w:ascii="Calibri" w:hAnsi="Calibri"/>
                <w:color w:val="000000"/>
                <w:szCs w:val="20"/>
              </w:rPr>
            </w:pPr>
            <w:r>
              <w:rPr>
                <w:rFonts w:ascii="Calibri" w:hAnsi="Calibri" w:cs="Calibri"/>
                <w:szCs w:val="20"/>
              </w:rPr>
              <w:t> </w:t>
            </w:r>
          </w:p>
        </w:tc>
      </w:tr>
      <w:tr w:rsidR="00BC423F" w:rsidRPr="0037598E" w14:paraId="20FB5D85" w14:textId="77777777" w:rsidTr="00A40297">
        <w:trPr>
          <w:trHeight w:val="255"/>
        </w:trPr>
        <w:tc>
          <w:tcPr>
            <w:tcW w:w="2552" w:type="dxa"/>
            <w:shd w:val="clear" w:color="000000" w:fill="DDEBF7"/>
            <w:noWrap/>
            <w:vAlign w:val="bottom"/>
            <w:hideMark/>
          </w:tcPr>
          <w:p w14:paraId="259F0B99" w14:textId="77777777" w:rsidR="00BC423F" w:rsidRPr="00281A01" w:rsidRDefault="00BC423F" w:rsidP="00BC423F">
            <w:pPr>
              <w:spacing w:before="0" w:after="0" w:line="240" w:lineRule="auto"/>
              <w:jc w:val="left"/>
              <w:rPr>
                <w:rFonts w:ascii="Calibri" w:hAnsi="Calibri"/>
                <w:color w:val="000000"/>
                <w:szCs w:val="20"/>
              </w:rPr>
            </w:pPr>
            <w:r w:rsidRPr="00281A01">
              <w:rPr>
                <w:rFonts w:ascii="Calibri" w:hAnsi="Calibri"/>
                <w:color w:val="000000"/>
                <w:szCs w:val="20"/>
              </w:rPr>
              <w:t>Prevádzka EETS</w:t>
            </w:r>
          </w:p>
        </w:tc>
        <w:tc>
          <w:tcPr>
            <w:tcW w:w="1110" w:type="dxa"/>
            <w:shd w:val="clear" w:color="auto" w:fill="auto"/>
            <w:noWrap/>
            <w:vAlign w:val="center"/>
            <w:hideMark/>
          </w:tcPr>
          <w:p w14:paraId="618CC0F3" w14:textId="505D5C93" w:rsidR="00BC423F" w:rsidRPr="00281A01" w:rsidRDefault="00BC423F" w:rsidP="00BC423F">
            <w:pPr>
              <w:spacing w:before="0" w:after="0" w:line="240" w:lineRule="auto"/>
              <w:jc w:val="right"/>
              <w:rPr>
                <w:rFonts w:ascii="Calibri" w:hAnsi="Calibri"/>
                <w:color w:val="000000"/>
                <w:szCs w:val="20"/>
              </w:rPr>
            </w:pPr>
            <w:r>
              <w:rPr>
                <w:rFonts w:ascii="Calibri" w:hAnsi="Calibri" w:cs="Calibri"/>
                <w:szCs w:val="20"/>
              </w:rPr>
              <w:t> </w:t>
            </w:r>
          </w:p>
        </w:tc>
        <w:tc>
          <w:tcPr>
            <w:tcW w:w="1110" w:type="dxa"/>
            <w:shd w:val="clear" w:color="auto" w:fill="auto"/>
            <w:noWrap/>
            <w:vAlign w:val="center"/>
            <w:hideMark/>
          </w:tcPr>
          <w:p w14:paraId="6FD31858" w14:textId="28B5649F" w:rsidR="00BC423F" w:rsidRPr="00281A01" w:rsidRDefault="00BC423F" w:rsidP="00BC423F">
            <w:pPr>
              <w:spacing w:before="0" w:after="0" w:line="240" w:lineRule="auto"/>
              <w:jc w:val="right"/>
              <w:rPr>
                <w:rFonts w:ascii="Calibri" w:hAnsi="Calibri"/>
                <w:color w:val="000000"/>
                <w:szCs w:val="20"/>
              </w:rPr>
            </w:pPr>
            <w:r>
              <w:rPr>
                <w:rFonts w:ascii="Calibri" w:hAnsi="Calibri" w:cs="Calibri"/>
                <w:szCs w:val="20"/>
              </w:rPr>
              <w:t>864 813</w:t>
            </w:r>
          </w:p>
        </w:tc>
        <w:tc>
          <w:tcPr>
            <w:tcW w:w="1111" w:type="dxa"/>
            <w:shd w:val="clear" w:color="auto" w:fill="auto"/>
            <w:noWrap/>
            <w:vAlign w:val="center"/>
            <w:hideMark/>
          </w:tcPr>
          <w:p w14:paraId="1059E1A8" w14:textId="51E1ECD8" w:rsidR="00BC423F" w:rsidRPr="00281A01" w:rsidRDefault="00BC423F" w:rsidP="00BC423F">
            <w:pPr>
              <w:spacing w:before="0" w:after="0" w:line="240" w:lineRule="auto"/>
              <w:jc w:val="right"/>
              <w:rPr>
                <w:rFonts w:ascii="Calibri" w:hAnsi="Calibri"/>
                <w:color w:val="000000"/>
                <w:szCs w:val="20"/>
              </w:rPr>
            </w:pPr>
            <w:r>
              <w:rPr>
                <w:rFonts w:ascii="Calibri" w:hAnsi="Calibri" w:cs="Calibri"/>
                <w:szCs w:val="20"/>
              </w:rPr>
              <w:t>864 813</w:t>
            </w:r>
          </w:p>
        </w:tc>
        <w:tc>
          <w:tcPr>
            <w:tcW w:w="1110" w:type="dxa"/>
            <w:shd w:val="clear" w:color="auto" w:fill="auto"/>
            <w:noWrap/>
            <w:vAlign w:val="center"/>
            <w:hideMark/>
          </w:tcPr>
          <w:p w14:paraId="63329CE8" w14:textId="63480670" w:rsidR="00BC423F" w:rsidRPr="00281A01" w:rsidRDefault="00BC423F" w:rsidP="00BC423F">
            <w:pPr>
              <w:spacing w:before="0" w:after="0" w:line="240" w:lineRule="auto"/>
              <w:jc w:val="right"/>
              <w:rPr>
                <w:rFonts w:ascii="Calibri" w:hAnsi="Calibri"/>
                <w:color w:val="000000"/>
                <w:szCs w:val="20"/>
              </w:rPr>
            </w:pPr>
            <w:r>
              <w:rPr>
                <w:rFonts w:ascii="Calibri" w:hAnsi="Calibri" w:cs="Calibri"/>
                <w:szCs w:val="20"/>
              </w:rPr>
              <w:t>864 813</w:t>
            </w:r>
          </w:p>
        </w:tc>
        <w:tc>
          <w:tcPr>
            <w:tcW w:w="1110" w:type="dxa"/>
            <w:shd w:val="clear" w:color="auto" w:fill="auto"/>
            <w:noWrap/>
            <w:vAlign w:val="center"/>
            <w:hideMark/>
          </w:tcPr>
          <w:p w14:paraId="27BA56EF" w14:textId="5D2BED13" w:rsidR="00BC423F" w:rsidRPr="00281A01" w:rsidRDefault="00BC423F" w:rsidP="00BC423F">
            <w:pPr>
              <w:spacing w:before="0" w:after="0" w:line="240" w:lineRule="auto"/>
              <w:jc w:val="right"/>
              <w:rPr>
                <w:rFonts w:ascii="Calibri" w:hAnsi="Calibri"/>
                <w:color w:val="000000"/>
                <w:szCs w:val="20"/>
              </w:rPr>
            </w:pPr>
            <w:r>
              <w:rPr>
                <w:rFonts w:ascii="Calibri" w:hAnsi="Calibri" w:cs="Calibri"/>
                <w:szCs w:val="20"/>
              </w:rPr>
              <w:t>864 813</w:t>
            </w:r>
          </w:p>
        </w:tc>
        <w:tc>
          <w:tcPr>
            <w:tcW w:w="1111" w:type="dxa"/>
            <w:shd w:val="clear" w:color="auto" w:fill="auto"/>
            <w:noWrap/>
            <w:vAlign w:val="center"/>
            <w:hideMark/>
          </w:tcPr>
          <w:p w14:paraId="32A5E2D2" w14:textId="7932CB70" w:rsidR="00BC423F" w:rsidRPr="00281A01" w:rsidRDefault="00BC423F" w:rsidP="00BC423F">
            <w:pPr>
              <w:spacing w:before="0" w:after="0" w:line="240" w:lineRule="auto"/>
              <w:jc w:val="right"/>
              <w:rPr>
                <w:rFonts w:ascii="Calibri" w:hAnsi="Calibri"/>
                <w:color w:val="000000"/>
                <w:szCs w:val="20"/>
              </w:rPr>
            </w:pPr>
            <w:r>
              <w:rPr>
                <w:rFonts w:ascii="Calibri" w:hAnsi="Calibri" w:cs="Calibri"/>
                <w:szCs w:val="20"/>
              </w:rPr>
              <w:t>864 813</w:t>
            </w:r>
          </w:p>
        </w:tc>
      </w:tr>
      <w:tr w:rsidR="003D5CA1" w:rsidRPr="0037598E" w14:paraId="4B0569E7" w14:textId="77777777" w:rsidTr="00A40297">
        <w:trPr>
          <w:trHeight w:val="255"/>
        </w:trPr>
        <w:tc>
          <w:tcPr>
            <w:tcW w:w="2552" w:type="dxa"/>
            <w:shd w:val="clear" w:color="auto" w:fill="DEEAF6" w:themeFill="accent1" w:themeFillTint="33"/>
            <w:noWrap/>
            <w:vAlign w:val="bottom"/>
            <w:hideMark/>
          </w:tcPr>
          <w:p w14:paraId="176C75D3" w14:textId="69932E04" w:rsidR="003D5CA1" w:rsidRPr="00281A01" w:rsidRDefault="003D5CA1" w:rsidP="003D5CA1">
            <w:pPr>
              <w:spacing w:before="0" w:after="0" w:line="240" w:lineRule="auto"/>
              <w:jc w:val="left"/>
              <w:rPr>
                <w:rFonts w:ascii="Calibri" w:hAnsi="Calibri"/>
                <w:color w:val="000000"/>
                <w:szCs w:val="20"/>
              </w:rPr>
            </w:pPr>
            <w:r w:rsidRPr="00281A01">
              <w:rPr>
                <w:rFonts w:ascii="Calibri" w:hAnsi="Calibri"/>
                <w:color w:val="000000"/>
                <w:szCs w:val="20"/>
              </w:rPr>
              <w:t>Odmena Poskytovateľov EETS</w:t>
            </w:r>
          </w:p>
        </w:tc>
        <w:tc>
          <w:tcPr>
            <w:tcW w:w="1110" w:type="dxa"/>
            <w:shd w:val="clear" w:color="auto" w:fill="auto"/>
            <w:noWrap/>
            <w:vAlign w:val="center"/>
            <w:hideMark/>
          </w:tcPr>
          <w:p w14:paraId="36F0EC15" w14:textId="77777777" w:rsidR="003D5CA1" w:rsidRPr="00281A01" w:rsidRDefault="003D5CA1" w:rsidP="003D5CA1">
            <w:pPr>
              <w:spacing w:before="0" w:after="0" w:line="240" w:lineRule="auto"/>
              <w:jc w:val="right"/>
              <w:rPr>
                <w:rFonts w:ascii="Calibri" w:hAnsi="Calibri"/>
                <w:color w:val="000000"/>
                <w:szCs w:val="20"/>
              </w:rPr>
            </w:pPr>
            <w:r w:rsidRPr="00281A01">
              <w:rPr>
                <w:rFonts w:ascii="Calibri" w:hAnsi="Calibri"/>
                <w:color w:val="000000"/>
                <w:szCs w:val="20"/>
              </w:rPr>
              <w:t> </w:t>
            </w:r>
          </w:p>
        </w:tc>
        <w:tc>
          <w:tcPr>
            <w:tcW w:w="1110" w:type="dxa"/>
            <w:shd w:val="clear" w:color="auto" w:fill="auto"/>
            <w:noWrap/>
            <w:vAlign w:val="center"/>
            <w:hideMark/>
          </w:tcPr>
          <w:p w14:paraId="539D9F98" w14:textId="780FD454"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700 967</w:t>
            </w:r>
          </w:p>
        </w:tc>
        <w:tc>
          <w:tcPr>
            <w:tcW w:w="1111" w:type="dxa"/>
            <w:shd w:val="clear" w:color="auto" w:fill="auto"/>
            <w:noWrap/>
            <w:vAlign w:val="center"/>
            <w:hideMark/>
          </w:tcPr>
          <w:p w14:paraId="61006C60" w14:textId="12519DB8"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1 473 024</w:t>
            </w:r>
          </w:p>
        </w:tc>
        <w:tc>
          <w:tcPr>
            <w:tcW w:w="1110" w:type="dxa"/>
            <w:shd w:val="clear" w:color="auto" w:fill="auto"/>
            <w:noWrap/>
            <w:vAlign w:val="center"/>
            <w:hideMark/>
          </w:tcPr>
          <w:p w14:paraId="684A76C4" w14:textId="601C516A"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2 984 546</w:t>
            </w:r>
          </w:p>
        </w:tc>
        <w:tc>
          <w:tcPr>
            <w:tcW w:w="1110" w:type="dxa"/>
            <w:shd w:val="clear" w:color="auto" w:fill="auto"/>
            <w:noWrap/>
            <w:vAlign w:val="center"/>
            <w:hideMark/>
          </w:tcPr>
          <w:p w14:paraId="0BBB1985" w14:textId="396C4AD7"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4 529 761</w:t>
            </w:r>
          </w:p>
        </w:tc>
        <w:tc>
          <w:tcPr>
            <w:tcW w:w="1111" w:type="dxa"/>
            <w:shd w:val="clear" w:color="auto" w:fill="auto"/>
            <w:noWrap/>
            <w:vAlign w:val="center"/>
            <w:hideMark/>
          </w:tcPr>
          <w:p w14:paraId="23CEAE67" w14:textId="0A7FF333"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5 360 019</w:t>
            </w:r>
          </w:p>
        </w:tc>
      </w:tr>
      <w:tr w:rsidR="00BC423F" w:rsidRPr="00B142FA" w14:paraId="4AAC2972" w14:textId="77777777" w:rsidTr="00A40297">
        <w:trPr>
          <w:trHeight w:val="255"/>
        </w:trPr>
        <w:tc>
          <w:tcPr>
            <w:tcW w:w="2552" w:type="dxa"/>
            <w:shd w:val="clear" w:color="auto" w:fill="DEEAF6" w:themeFill="accent1" w:themeFillTint="33"/>
            <w:noWrap/>
            <w:vAlign w:val="center"/>
            <w:hideMark/>
          </w:tcPr>
          <w:p w14:paraId="29BC9D82" w14:textId="34765B61" w:rsidR="00BC423F" w:rsidRPr="00B142FA" w:rsidRDefault="00BC423F" w:rsidP="00A40297">
            <w:pPr>
              <w:spacing w:before="0" w:after="0" w:line="240" w:lineRule="auto"/>
              <w:jc w:val="left"/>
              <w:rPr>
                <w:rFonts w:ascii="Calibri" w:hAnsi="Calibri" w:cs="Arial"/>
                <w:color w:val="000000"/>
                <w:szCs w:val="20"/>
              </w:rPr>
            </w:pPr>
            <w:r w:rsidRPr="00B142FA">
              <w:rPr>
                <w:rFonts w:ascii="Calibri" w:hAnsi="Calibri" w:cs="Arial"/>
                <w:color w:val="000000"/>
                <w:szCs w:val="20"/>
              </w:rPr>
              <w:t>Odmena za kartové operácie</w:t>
            </w:r>
          </w:p>
        </w:tc>
        <w:tc>
          <w:tcPr>
            <w:tcW w:w="1110" w:type="dxa"/>
            <w:shd w:val="clear" w:color="auto" w:fill="auto"/>
            <w:noWrap/>
            <w:vAlign w:val="center"/>
            <w:hideMark/>
          </w:tcPr>
          <w:p w14:paraId="43F34EDB" w14:textId="77777777" w:rsidR="00BC423F" w:rsidRPr="00B142FA" w:rsidRDefault="00BC423F" w:rsidP="00B142FA">
            <w:pPr>
              <w:spacing w:before="0" w:after="0" w:line="240" w:lineRule="auto"/>
              <w:jc w:val="left"/>
              <w:rPr>
                <w:rFonts w:ascii="Calibri" w:hAnsi="Calibri" w:cs="Arial"/>
                <w:color w:val="000000"/>
                <w:szCs w:val="20"/>
              </w:rPr>
            </w:pPr>
            <w:r w:rsidRPr="00B142FA">
              <w:rPr>
                <w:rFonts w:ascii="Calibri" w:hAnsi="Calibri" w:cs="Arial"/>
                <w:color w:val="000000"/>
                <w:szCs w:val="20"/>
              </w:rPr>
              <w:t> </w:t>
            </w:r>
          </w:p>
        </w:tc>
        <w:tc>
          <w:tcPr>
            <w:tcW w:w="1110" w:type="dxa"/>
            <w:shd w:val="clear" w:color="auto" w:fill="auto"/>
            <w:noWrap/>
            <w:vAlign w:val="center"/>
            <w:hideMark/>
          </w:tcPr>
          <w:p w14:paraId="6824FE19" w14:textId="3B9C644B" w:rsidR="00BC423F" w:rsidRPr="00B142FA" w:rsidRDefault="00BC423F"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12 450 020</w:t>
            </w:r>
          </w:p>
        </w:tc>
        <w:tc>
          <w:tcPr>
            <w:tcW w:w="1111" w:type="dxa"/>
            <w:shd w:val="clear" w:color="auto" w:fill="auto"/>
            <w:noWrap/>
            <w:vAlign w:val="center"/>
            <w:hideMark/>
          </w:tcPr>
          <w:p w14:paraId="6E34FD6A" w14:textId="79C052BB" w:rsidR="00BC423F" w:rsidRPr="00B142FA" w:rsidRDefault="00BC423F"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5 687 347</w:t>
            </w:r>
          </w:p>
        </w:tc>
        <w:tc>
          <w:tcPr>
            <w:tcW w:w="1110" w:type="dxa"/>
            <w:shd w:val="clear" w:color="auto" w:fill="auto"/>
            <w:noWrap/>
            <w:vAlign w:val="center"/>
            <w:hideMark/>
          </w:tcPr>
          <w:p w14:paraId="01EAC0C6" w14:textId="6232C6B1" w:rsidR="00BC423F" w:rsidRPr="00B142FA" w:rsidRDefault="00BC423F"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5 187 140</w:t>
            </w:r>
          </w:p>
        </w:tc>
        <w:tc>
          <w:tcPr>
            <w:tcW w:w="1110" w:type="dxa"/>
            <w:shd w:val="clear" w:color="auto" w:fill="auto"/>
            <w:noWrap/>
            <w:vAlign w:val="center"/>
            <w:hideMark/>
          </w:tcPr>
          <w:p w14:paraId="25F229BF" w14:textId="50FD70C2" w:rsidR="00BC423F" w:rsidRPr="00B142FA" w:rsidRDefault="00BC423F"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4 708 686</w:t>
            </w:r>
          </w:p>
        </w:tc>
        <w:tc>
          <w:tcPr>
            <w:tcW w:w="1111" w:type="dxa"/>
            <w:shd w:val="clear" w:color="auto" w:fill="auto"/>
            <w:noWrap/>
            <w:vAlign w:val="center"/>
            <w:hideMark/>
          </w:tcPr>
          <w:p w14:paraId="5638589C" w14:textId="25DB9101" w:rsidR="00BC423F" w:rsidRPr="00B142FA" w:rsidRDefault="00BC423F"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4 544 148</w:t>
            </w:r>
          </w:p>
        </w:tc>
      </w:tr>
      <w:tr w:rsidR="001F20DC" w:rsidRPr="00B142FA" w14:paraId="17977347" w14:textId="77777777" w:rsidTr="00A40297">
        <w:trPr>
          <w:trHeight w:val="270"/>
        </w:trPr>
        <w:tc>
          <w:tcPr>
            <w:tcW w:w="2552" w:type="dxa"/>
            <w:shd w:val="clear" w:color="000000" w:fill="DDEBF7"/>
            <w:noWrap/>
            <w:vAlign w:val="bottom"/>
            <w:hideMark/>
          </w:tcPr>
          <w:p w14:paraId="49BECCE9" w14:textId="77777777" w:rsidR="001F20DC" w:rsidRPr="00B142FA" w:rsidRDefault="001F20DC" w:rsidP="001F20DC">
            <w:pPr>
              <w:spacing w:before="0" w:after="0" w:line="240" w:lineRule="auto"/>
              <w:jc w:val="left"/>
              <w:rPr>
                <w:rFonts w:ascii="Calibri" w:hAnsi="Calibri" w:cs="Arial"/>
                <w:color w:val="000000"/>
                <w:szCs w:val="20"/>
              </w:rPr>
            </w:pPr>
            <w:r w:rsidRPr="00B142FA">
              <w:rPr>
                <w:rFonts w:ascii="Calibri" w:hAnsi="Calibri" w:cs="Arial"/>
                <w:color w:val="000000"/>
                <w:szCs w:val="20"/>
              </w:rPr>
              <w:t>Iné služby (technická pomoc, projektové riadenie)</w:t>
            </w:r>
          </w:p>
        </w:tc>
        <w:tc>
          <w:tcPr>
            <w:tcW w:w="1110" w:type="dxa"/>
            <w:shd w:val="clear" w:color="auto" w:fill="auto"/>
            <w:noWrap/>
            <w:vAlign w:val="center"/>
            <w:hideMark/>
          </w:tcPr>
          <w:p w14:paraId="37C7DFF6" w14:textId="7356949F" w:rsidR="001F20DC" w:rsidRPr="00B142FA" w:rsidRDefault="00BC423F" w:rsidP="00A40297">
            <w:pPr>
              <w:spacing w:before="0" w:after="0" w:line="240" w:lineRule="auto"/>
              <w:jc w:val="right"/>
              <w:rPr>
                <w:rFonts w:ascii="Calibri" w:hAnsi="Calibri" w:cs="Arial"/>
                <w:color w:val="000000"/>
                <w:szCs w:val="20"/>
              </w:rPr>
            </w:pPr>
            <w:r w:rsidRPr="00B142FA">
              <w:rPr>
                <w:rFonts w:ascii="Calibri" w:hAnsi="Calibri" w:cs="Arial"/>
                <w:color w:val="000000"/>
                <w:szCs w:val="20"/>
              </w:rPr>
              <w:t>168 300</w:t>
            </w:r>
          </w:p>
        </w:tc>
        <w:tc>
          <w:tcPr>
            <w:tcW w:w="1110" w:type="dxa"/>
            <w:shd w:val="clear" w:color="auto" w:fill="auto"/>
            <w:noWrap/>
            <w:vAlign w:val="center"/>
            <w:hideMark/>
          </w:tcPr>
          <w:p w14:paraId="09E7A7A1" w14:textId="77777777" w:rsidR="001F20DC" w:rsidRPr="00B142FA" w:rsidRDefault="001F20DC"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3 352 414</w:t>
            </w:r>
          </w:p>
        </w:tc>
        <w:tc>
          <w:tcPr>
            <w:tcW w:w="1111" w:type="dxa"/>
            <w:shd w:val="clear" w:color="auto" w:fill="auto"/>
            <w:noWrap/>
            <w:vAlign w:val="center"/>
            <w:hideMark/>
          </w:tcPr>
          <w:p w14:paraId="17167500" w14:textId="77777777" w:rsidR="001F20DC" w:rsidRPr="00B142FA" w:rsidRDefault="001F20DC"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3 352 414</w:t>
            </w:r>
          </w:p>
        </w:tc>
        <w:tc>
          <w:tcPr>
            <w:tcW w:w="1110" w:type="dxa"/>
            <w:shd w:val="clear" w:color="auto" w:fill="auto"/>
            <w:noWrap/>
            <w:vAlign w:val="center"/>
            <w:hideMark/>
          </w:tcPr>
          <w:p w14:paraId="53934C9A" w14:textId="77777777" w:rsidR="001F20DC" w:rsidRPr="00B142FA" w:rsidRDefault="001F20DC"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3 352 414</w:t>
            </w:r>
          </w:p>
        </w:tc>
        <w:tc>
          <w:tcPr>
            <w:tcW w:w="1110" w:type="dxa"/>
            <w:shd w:val="clear" w:color="auto" w:fill="auto"/>
            <w:noWrap/>
            <w:vAlign w:val="center"/>
            <w:hideMark/>
          </w:tcPr>
          <w:p w14:paraId="54EE9459" w14:textId="77777777" w:rsidR="001F20DC" w:rsidRPr="00B142FA" w:rsidRDefault="001F20DC"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3 352 414</w:t>
            </w:r>
          </w:p>
        </w:tc>
        <w:tc>
          <w:tcPr>
            <w:tcW w:w="1111" w:type="dxa"/>
            <w:shd w:val="clear" w:color="auto" w:fill="auto"/>
            <w:noWrap/>
            <w:vAlign w:val="center"/>
            <w:hideMark/>
          </w:tcPr>
          <w:p w14:paraId="5FBE0374" w14:textId="77777777" w:rsidR="001F20DC" w:rsidRPr="00B142FA" w:rsidRDefault="001F20DC" w:rsidP="00B142FA">
            <w:pPr>
              <w:spacing w:before="0" w:after="0" w:line="240" w:lineRule="auto"/>
              <w:jc w:val="right"/>
              <w:rPr>
                <w:rFonts w:ascii="Calibri" w:hAnsi="Calibri" w:cs="Arial"/>
                <w:color w:val="000000"/>
                <w:szCs w:val="20"/>
              </w:rPr>
            </w:pPr>
            <w:r w:rsidRPr="00B142FA">
              <w:rPr>
                <w:rFonts w:ascii="Calibri" w:hAnsi="Calibri" w:cs="Arial"/>
                <w:color w:val="000000"/>
                <w:szCs w:val="20"/>
              </w:rPr>
              <w:t>3 352 414</w:t>
            </w:r>
          </w:p>
        </w:tc>
      </w:tr>
      <w:tr w:rsidR="003D5CA1" w:rsidRPr="0037598E" w14:paraId="34E39F25" w14:textId="77777777" w:rsidTr="00A40297">
        <w:trPr>
          <w:trHeight w:val="270"/>
        </w:trPr>
        <w:tc>
          <w:tcPr>
            <w:tcW w:w="2552" w:type="dxa"/>
            <w:shd w:val="clear" w:color="000000" w:fill="BDD7EE"/>
            <w:noWrap/>
            <w:vAlign w:val="bottom"/>
            <w:hideMark/>
          </w:tcPr>
          <w:p w14:paraId="282E211E" w14:textId="04B0E8D0" w:rsidR="003D5CA1" w:rsidRPr="00281A01" w:rsidRDefault="003D5CA1" w:rsidP="003D5CA1">
            <w:pPr>
              <w:spacing w:before="0" w:after="0" w:line="240" w:lineRule="auto"/>
              <w:jc w:val="left"/>
              <w:rPr>
                <w:rFonts w:ascii="Calibri" w:hAnsi="Calibri"/>
                <w:color w:val="000000"/>
                <w:szCs w:val="20"/>
              </w:rPr>
            </w:pPr>
            <w:r w:rsidRPr="00281A01">
              <w:rPr>
                <w:rFonts w:ascii="Calibri" w:hAnsi="Calibri"/>
                <w:color w:val="000000"/>
                <w:szCs w:val="20"/>
              </w:rPr>
              <w:t xml:space="preserve">Celková suma EUR, </w:t>
            </w:r>
            <w:r w:rsidRPr="0037598E">
              <w:rPr>
                <w:rFonts w:ascii="Calibri" w:hAnsi="Calibri"/>
                <w:color w:val="000000"/>
                <w:szCs w:val="20"/>
              </w:rPr>
              <w:t xml:space="preserve">variant </w:t>
            </w:r>
            <w:r>
              <w:rPr>
                <w:rFonts w:ascii="Calibri" w:hAnsi="Calibri"/>
                <w:color w:val="000000"/>
                <w:szCs w:val="20"/>
              </w:rPr>
              <w:t>2</w:t>
            </w:r>
          </w:p>
        </w:tc>
        <w:tc>
          <w:tcPr>
            <w:tcW w:w="1110" w:type="dxa"/>
            <w:shd w:val="clear" w:color="000000" w:fill="BDD7EE"/>
            <w:noWrap/>
            <w:vAlign w:val="center"/>
            <w:hideMark/>
          </w:tcPr>
          <w:p w14:paraId="0CB949D4" w14:textId="69A19DE0"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3 345 568</w:t>
            </w:r>
          </w:p>
        </w:tc>
        <w:tc>
          <w:tcPr>
            <w:tcW w:w="1110" w:type="dxa"/>
            <w:shd w:val="clear" w:color="000000" w:fill="BDD7EE"/>
            <w:noWrap/>
            <w:vAlign w:val="center"/>
            <w:hideMark/>
          </w:tcPr>
          <w:p w14:paraId="3B51F9E5" w14:textId="78329CF9"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80 190 285</w:t>
            </w:r>
          </w:p>
        </w:tc>
        <w:tc>
          <w:tcPr>
            <w:tcW w:w="1111" w:type="dxa"/>
            <w:shd w:val="clear" w:color="000000" w:fill="BDD7EE"/>
            <w:noWrap/>
            <w:vAlign w:val="center"/>
            <w:hideMark/>
          </w:tcPr>
          <w:p w14:paraId="52ECA2A7" w14:textId="48BCED4D"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69 635 752</w:t>
            </w:r>
          </w:p>
        </w:tc>
        <w:tc>
          <w:tcPr>
            <w:tcW w:w="1110" w:type="dxa"/>
            <w:shd w:val="clear" w:color="000000" w:fill="BDD7EE"/>
            <w:noWrap/>
            <w:vAlign w:val="center"/>
            <w:hideMark/>
          </w:tcPr>
          <w:p w14:paraId="5B28C00D" w14:textId="12E86BBB"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68 441 000</w:t>
            </w:r>
          </w:p>
        </w:tc>
        <w:tc>
          <w:tcPr>
            <w:tcW w:w="1110" w:type="dxa"/>
            <w:shd w:val="clear" w:color="000000" w:fill="BDD7EE"/>
            <w:noWrap/>
            <w:vAlign w:val="center"/>
            <w:hideMark/>
          </w:tcPr>
          <w:p w14:paraId="455C9554" w14:textId="7979A6B8"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67 921 087</w:t>
            </w:r>
          </w:p>
        </w:tc>
        <w:tc>
          <w:tcPr>
            <w:tcW w:w="1111" w:type="dxa"/>
            <w:shd w:val="clear" w:color="000000" w:fill="BDD7EE"/>
            <w:noWrap/>
            <w:vAlign w:val="center"/>
            <w:hideMark/>
          </w:tcPr>
          <w:p w14:paraId="0BD992DB" w14:textId="4AFDCD1D" w:rsidR="003D5CA1" w:rsidRPr="00281A01" w:rsidRDefault="003D5CA1" w:rsidP="003D5CA1">
            <w:pPr>
              <w:spacing w:before="0" w:after="0" w:line="240" w:lineRule="auto"/>
              <w:jc w:val="right"/>
              <w:rPr>
                <w:rFonts w:ascii="Calibri" w:hAnsi="Calibri"/>
                <w:color w:val="000000"/>
                <w:szCs w:val="20"/>
              </w:rPr>
            </w:pPr>
            <w:r>
              <w:rPr>
                <w:rFonts w:ascii="Calibri" w:hAnsi="Calibri" w:cs="Calibri"/>
                <w:color w:val="000000"/>
                <w:szCs w:val="20"/>
              </w:rPr>
              <w:t>67 921 486</w:t>
            </w:r>
          </w:p>
        </w:tc>
      </w:tr>
    </w:tbl>
    <w:p w14:paraId="25BAEC5A" w14:textId="759CA04D" w:rsidR="003D5CA1" w:rsidRDefault="003068C9" w:rsidP="003068C9">
      <w:pPr>
        <w:rPr>
          <w:i/>
          <w:sz w:val="16"/>
        </w:rPr>
      </w:pPr>
      <w:r w:rsidRPr="0037598E">
        <w:rPr>
          <w:i/>
          <w:sz w:val="16"/>
        </w:rPr>
        <w:t>Zdroj: výpočet na základe údajov tabuľkách vyššie</w:t>
      </w:r>
    </w:p>
    <w:p w14:paraId="14BE9725" w14:textId="77777777" w:rsidR="00366F12" w:rsidRPr="0037598E" w:rsidRDefault="00366F12" w:rsidP="003068C9">
      <w:pPr>
        <w:rPr>
          <w:i/>
          <w:sz w:val="16"/>
        </w:rPr>
      </w:pPr>
    </w:p>
    <w:p w14:paraId="5089F3E6" w14:textId="77777777" w:rsidR="003068C9" w:rsidRDefault="003068C9" w:rsidP="003068C9">
      <w:pPr>
        <w:pStyle w:val="Heading3"/>
      </w:pPr>
      <w:bookmarkStart w:id="68" w:name="_Toc87348721"/>
      <w:r>
        <w:t>Príjmy</w:t>
      </w:r>
      <w:bookmarkEnd w:id="68"/>
    </w:p>
    <w:p w14:paraId="575E96F8" w14:textId="13BE3615" w:rsidR="003068C9" w:rsidRDefault="003068C9" w:rsidP="003068C9">
      <w:r>
        <w:t>Príjmy posudzovaného variantu sú tvorené príjmom z elektronického výberu mýta. Prognóza príjmov z elektronického výberu mýta na základe analýzy historických dopravných dát a plánovaného rozvoja cestnej infraštruktúry je podrobne spracovaná v</w:t>
      </w:r>
      <w:r w:rsidR="00471DFC">
        <w:t xml:space="preserve"> </w:t>
      </w:r>
      <w:r w:rsidR="00471DFC" w:rsidRPr="00471DFC">
        <w:t>Štúdi</w:t>
      </w:r>
      <w:r w:rsidR="00471DFC">
        <w:t>i</w:t>
      </w:r>
      <w:r w:rsidR="00471DFC" w:rsidRPr="00471DFC">
        <w:t xml:space="preserve"> uskutočniteľnosti EMS</w:t>
      </w:r>
      <w:r>
        <w:t>.</w:t>
      </w:r>
    </w:p>
    <w:p w14:paraId="62D28ED2" w14:textId="66E8B5FB" w:rsidR="003068C9" w:rsidRDefault="003068C9" w:rsidP="00FA6605">
      <w:pPr>
        <w:pStyle w:val="Caption"/>
      </w:pPr>
      <w:r>
        <w:t xml:space="preserve">Tab. </w:t>
      </w:r>
      <w:r>
        <w:fldChar w:fldCharType="begin"/>
      </w:r>
      <w:r>
        <w:instrText xml:space="preserve"> SEQ Tab. \* ARABIC </w:instrText>
      </w:r>
      <w:r>
        <w:fldChar w:fldCharType="separate"/>
      </w:r>
      <w:r w:rsidR="00A86720">
        <w:rPr>
          <w:noProof/>
        </w:rPr>
        <w:t>17</w:t>
      </w:r>
      <w:r>
        <w:fldChar w:fldCharType="end"/>
      </w:r>
      <w:r>
        <w:t xml:space="preserve"> - Príjmy, variant </w:t>
      </w:r>
      <w:r w:rsidR="00B35F83">
        <w:t>2</w:t>
      </w:r>
    </w:p>
    <w:tbl>
      <w:tblPr>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2977"/>
        <w:gridCol w:w="1256"/>
        <w:gridCol w:w="1256"/>
        <w:gridCol w:w="1256"/>
        <w:gridCol w:w="1256"/>
        <w:gridCol w:w="1256"/>
      </w:tblGrid>
      <w:tr w:rsidR="003068C9" w:rsidRPr="008915A2" w14:paraId="1855C5CA" w14:textId="77777777" w:rsidTr="0095621D">
        <w:trPr>
          <w:trHeight w:val="255"/>
        </w:trPr>
        <w:tc>
          <w:tcPr>
            <w:tcW w:w="2977" w:type="dxa"/>
            <w:shd w:val="clear" w:color="auto" w:fill="BDD6EE" w:themeFill="accent1" w:themeFillTint="66"/>
            <w:noWrap/>
            <w:vAlign w:val="bottom"/>
            <w:hideMark/>
          </w:tcPr>
          <w:p w14:paraId="42BDE941" w14:textId="77777777" w:rsidR="003068C9" w:rsidRPr="00A94C01" w:rsidRDefault="003068C9" w:rsidP="0095621D">
            <w:pPr>
              <w:spacing w:before="0" w:after="0" w:line="240" w:lineRule="auto"/>
              <w:jc w:val="left"/>
              <w:rPr>
                <w:rFonts w:ascii="Calibri" w:hAnsi="Calibri"/>
                <w:szCs w:val="20"/>
              </w:rPr>
            </w:pPr>
            <w:r w:rsidRPr="008915A2">
              <w:rPr>
                <w:rFonts w:ascii="Calibri" w:hAnsi="Calibri"/>
                <w:szCs w:val="20"/>
              </w:rPr>
              <w:t>Údaje v EUR</w:t>
            </w:r>
          </w:p>
        </w:tc>
        <w:tc>
          <w:tcPr>
            <w:tcW w:w="1256" w:type="dxa"/>
            <w:shd w:val="clear" w:color="auto" w:fill="BDD6EE" w:themeFill="accent1" w:themeFillTint="66"/>
            <w:noWrap/>
            <w:vAlign w:val="bottom"/>
            <w:hideMark/>
          </w:tcPr>
          <w:p w14:paraId="0AAA29B9" w14:textId="77777777" w:rsidR="003068C9" w:rsidRPr="00A94C01" w:rsidRDefault="003068C9" w:rsidP="0095621D">
            <w:pPr>
              <w:spacing w:before="0" w:after="0" w:line="240" w:lineRule="auto"/>
              <w:jc w:val="center"/>
              <w:rPr>
                <w:rFonts w:ascii="Calibri" w:hAnsi="Calibri"/>
                <w:szCs w:val="20"/>
              </w:rPr>
            </w:pPr>
            <w:r w:rsidRPr="00A94C01">
              <w:rPr>
                <w:rFonts w:ascii="Calibri" w:hAnsi="Calibri"/>
                <w:szCs w:val="20"/>
              </w:rPr>
              <w:t>2022</w:t>
            </w:r>
          </w:p>
        </w:tc>
        <w:tc>
          <w:tcPr>
            <w:tcW w:w="1256" w:type="dxa"/>
            <w:shd w:val="clear" w:color="auto" w:fill="BDD6EE" w:themeFill="accent1" w:themeFillTint="66"/>
            <w:noWrap/>
            <w:vAlign w:val="bottom"/>
            <w:hideMark/>
          </w:tcPr>
          <w:p w14:paraId="3D0F6025" w14:textId="77777777" w:rsidR="003068C9" w:rsidRPr="00A94C01" w:rsidRDefault="003068C9" w:rsidP="0095621D">
            <w:pPr>
              <w:spacing w:before="0" w:after="0" w:line="240" w:lineRule="auto"/>
              <w:jc w:val="center"/>
              <w:rPr>
                <w:rFonts w:ascii="Calibri" w:hAnsi="Calibri"/>
                <w:szCs w:val="20"/>
              </w:rPr>
            </w:pPr>
            <w:r w:rsidRPr="00A94C01">
              <w:rPr>
                <w:rFonts w:ascii="Calibri" w:hAnsi="Calibri"/>
                <w:szCs w:val="20"/>
              </w:rPr>
              <w:t>2023</w:t>
            </w:r>
          </w:p>
        </w:tc>
        <w:tc>
          <w:tcPr>
            <w:tcW w:w="1256" w:type="dxa"/>
            <w:shd w:val="clear" w:color="auto" w:fill="BDD6EE" w:themeFill="accent1" w:themeFillTint="66"/>
            <w:noWrap/>
            <w:vAlign w:val="bottom"/>
            <w:hideMark/>
          </w:tcPr>
          <w:p w14:paraId="11E83F4A" w14:textId="77777777" w:rsidR="003068C9" w:rsidRPr="00A94C01" w:rsidRDefault="003068C9" w:rsidP="0095621D">
            <w:pPr>
              <w:spacing w:before="0" w:after="0" w:line="240" w:lineRule="auto"/>
              <w:jc w:val="center"/>
              <w:rPr>
                <w:rFonts w:ascii="Calibri" w:hAnsi="Calibri"/>
                <w:szCs w:val="20"/>
              </w:rPr>
            </w:pPr>
            <w:r w:rsidRPr="00A94C01">
              <w:rPr>
                <w:rFonts w:ascii="Calibri" w:hAnsi="Calibri"/>
                <w:szCs w:val="20"/>
              </w:rPr>
              <w:t>2024</w:t>
            </w:r>
          </w:p>
        </w:tc>
        <w:tc>
          <w:tcPr>
            <w:tcW w:w="1256" w:type="dxa"/>
            <w:shd w:val="clear" w:color="auto" w:fill="BDD6EE" w:themeFill="accent1" w:themeFillTint="66"/>
            <w:noWrap/>
            <w:vAlign w:val="bottom"/>
            <w:hideMark/>
          </w:tcPr>
          <w:p w14:paraId="15D0B72D" w14:textId="77777777" w:rsidR="003068C9" w:rsidRPr="00A94C01" w:rsidRDefault="003068C9" w:rsidP="0095621D">
            <w:pPr>
              <w:spacing w:before="0" w:after="0" w:line="240" w:lineRule="auto"/>
              <w:jc w:val="center"/>
              <w:rPr>
                <w:rFonts w:ascii="Calibri" w:hAnsi="Calibri"/>
                <w:szCs w:val="20"/>
              </w:rPr>
            </w:pPr>
            <w:r w:rsidRPr="00A94C01">
              <w:rPr>
                <w:rFonts w:ascii="Calibri" w:hAnsi="Calibri"/>
                <w:szCs w:val="20"/>
              </w:rPr>
              <w:t>2025</w:t>
            </w:r>
          </w:p>
        </w:tc>
        <w:tc>
          <w:tcPr>
            <w:tcW w:w="1256" w:type="dxa"/>
            <w:shd w:val="clear" w:color="auto" w:fill="BDD6EE" w:themeFill="accent1" w:themeFillTint="66"/>
            <w:noWrap/>
            <w:vAlign w:val="bottom"/>
            <w:hideMark/>
          </w:tcPr>
          <w:p w14:paraId="03100328" w14:textId="77777777" w:rsidR="003068C9" w:rsidRPr="00A94C01" w:rsidRDefault="003068C9" w:rsidP="0095621D">
            <w:pPr>
              <w:spacing w:before="0" w:after="0" w:line="240" w:lineRule="auto"/>
              <w:jc w:val="center"/>
              <w:rPr>
                <w:rFonts w:ascii="Calibri" w:hAnsi="Calibri"/>
                <w:szCs w:val="20"/>
              </w:rPr>
            </w:pPr>
            <w:r w:rsidRPr="00A94C01">
              <w:rPr>
                <w:rFonts w:ascii="Calibri" w:hAnsi="Calibri"/>
                <w:szCs w:val="20"/>
              </w:rPr>
              <w:t>2026</w:t>
            </w:r>
          </w:p>
        </w:tc>
      </w:tr>
      <w:tr w:rsidR="003068C9" w:rsidRPr="008915A2" w14:paraId="5C0738E5" w14:textId="77777777" w:rsidTr="0095621D">
        <w:trPr>
          <w:trHeight w:val="255"/>
        </w:trPr>
        <w:tc>
          <w:tcPr>
            <w:tcW w:w="2977" w:type="dxa"/>
            <w:shd w:val="clear" w:color="auto" w:fill="DEEAF6" w:themeFill="accent1" w:themeFillTint="33"/>
            <w:noWrap/>
            <w:vAlign w:val="bottom"/>
            <w:hideMark/>
          </w:tcPr>
          <w:p w14:paraId="2D9188F7" w14:textId="77777777" w:rsidR="003068C9" w:rsidRPr="00A94C01" w:rsidRDefault="003068C9" w:rsidP="0095621D">
            <w:pPr>
              <w:spacing w:before="0" w:after="0" w:line="240" w:lineRule="auto"/>
              <w:jc w:val="left"/>
              <w:rPr>
                <w:rFonts w:ascii="Calibri" w:hAnsi="Calibri"/>
                <w:szCs w:val="20"/>
              </w:rPr>
            </w:pPr>
            <w:r w:rsidRPr="00A94C01">
              <w:rPr>
                <w:rFonts w:ascii="Calibri" w:hAnsi="Calibri"/>
                <w:szCs w:val="20"/>
              </w:rPr>
              <w:t>Prognóza výberu mýta</w:t>
            </w:r>
          </w:p>
        </w:tc>
        <w:tc>
          <w:tcPr>
            <w:tcW w:w="1256" w:type="dxa"/>
            <w:shd w:val="clear" w:color="auto" w:fill="auto"/>
            <w:noWrap/>
            <w:vAlign w:val="bottom"/>
            <w:hideMark/>
          </w:tcPr>
          <w:p w14:paraId="43402726" w14:textId="77777777" w:rsidR="003068C9" w:rsidRPr="00A94C01" w:rsidRDefault="003068C9" w:rsidP="0095621D">
            <w:pPr>
              <w:spacing w:before="0" w:after="0" w:line="240" w:lineRule="auto"/>
              <w:jc w:val="right"/>
              <w:rPr>
                <w:rFonts w:ascii="Calibri" w:hAnsi="Calibri"/>
                <w:szCs w:val="20"/>
              </w:rPr>
            </w:pPr>
            <w:r w:rsidRPr="00A94C01">
              <w:rPr>
                <w:rFonts w:ascii="Calibri" w:hAnsi="Calibri"/>
                <w:szCs w:val="20"/>
              </w:rPr>
              <w:t>233 655 755</w:t>
            </w:r>
          </w:p>
        </w:tc>
        <w:tc>
          <w:tcPr>
            <w:tcW w:w="1256" w:type="dxa"/>
            <w:shd w:val="clear" w:color="auto" w:fill="auto"/>
            <w:noWrap/>
            <w:vAlign w:val="bottom"/>
            <w:hideMark/>
          </w:tcPr>
          <w:p w14:paraId="0F2AB838" w14:textId="77777777" w:rsidR="003068C9" w:rsidRPr="00A94C01" w:rsidRDefault="003068C9" w:rsidP="0095621D">
            <w:pPr>
              <w:spacing w:before="0" w:after="0" w:line="240" w:lineRule="auto"/>
              <w:jc w:val="right"/>
              <w:rPr>
                <w:rFonts w:ascii="Calibri" w:hAnsi="Calibri"/>
                <w:szCs w:val="20"/>
              </w:rPr>
            </w:pPr>
            <w:r w:rsidRPr="00A94C01">
              <w:rPr>
                <w:rFonts w:ascii="Calibri" w:hAnsi="Calibri"/>
                <w:szCs w:val="20"/>
              </w:rPr>
              <w:t>245 504 057</w:t>
            </w:r>
          </w:p>
        </w:tc>
        <w:tc>
          <w:tcPr>
            <w:tcW w:w="1256" w:type="dxa"/>
            <w:shd w:val="clear" w:color="auto" w:fill="auto"/>
            <w:noWrap/>
            <w:vAlign w:val="bottom"/>
            <w:hideMark/>
          </w:tcPr>
          <w:p w14:paraId="74EA06E5" w14:textId="77777777" w:rsidR="003068C9" w:rsidRPr="00A94C01" w:rsidRDefault="003068C9" w:rsidP="0095621D">
            <w:pPr>
              <w:spacing w:before="0" w:after="0" w:line="240" w:lineRule="auto"/>
              <w:jc w:val="right"/>
              <w:rPr>
                <w:rFonts w:ascii="Calibri" w:hAnsi="Calibri"/>
                <w:szCs w:val="20"/>
              </w:rPr>
            </w:pPr>
            <w:r w:rsidRPr="00A94C01">
              <w:rPr>
                <w:rFonts w:ascii="Calibri" w:hAnsi="Calibri"/>
                <w:szCs w:val="20"/>
              </w:rPr>
              <w:t>248 712 141</w:t>
            </w:r>
          </w:p>
        </w:tc>
        <w:tc>
          <w:tcPr>
            <w:tcW w:w="1256" w:type="dxa"/>
            <w:shd w:val="clear" w:color="auto" w:fill="auto"/>
            <w:noWrap/>
            <w:vAlign w:val="bottom"/>
            <w:hideMark/>
          </w:tcPr>
          <w:p w14:paraId="51177521" w14:textId="77777777" w:rsidR="003068C9" w:rsidRPr="00A94C01" w:rsidRDefault="003068C9" w:rsidP="0095621D">
            <w:pPr>
              <w:spacing w:before="0" w:after="0" w:line="240" w:lineRule="auto"/>
              <w:jc w:val="right"/>
              <w:rPr>
                <w:rFonts w:ascii="Calibri" w:hAnsi="Calibri"/>
                <w:szCs w:val="20"/>
              </w:rPr>
            </w:pPr>
            <w:r w:rsidRPr="00A94C01">
              <w:rPr>
                <w:rFonts w:ascii="Calibri" w:hAnsi="Calibri"/>
                <w:szCs w:val="20"/>
              </w:rPr>
              <w:t>251 653 366</w:t>
            </w:r>
          </w:p>
        </w:tc>
        <w:tc>
          <w:tcPr>
            <w:tcW w:w="1256" w:type="dxa"/>
            <w:shd w:val="clear" w:color="auto" w:fill="auto"/>
            <w:noWrap/>
            <w:vAlign w:val="bottom"/>
            <w:hideMark/>
          </w:tcPr>
          <w:p w14:paraId="0BF5493C" w14:textId="77777777" w:rsidR="003068C9" w:rsidRPr="00A94C01" w:rsidRDefault="003068C9" w:rsidP="0095621D">
            <w:pPr>
              <w:spacing w:before="0" w:after="0" w:line="240" w:lineRule="auto"/>
              <w:jc w:val="right"/>
              <w:rPr>
                <w:rFonts w:ascii="Calibri" w:hAnsi="Calibri"/>
                <w:szCs w:val="20"/>
              </w:rPr>
            </w:pPr>
            <w:r w:rsidRPr="00A94C01">
              <w:rPr>
                <w:rFonts w:ascii="Calibri" w:hAnsi="Calibri"/>
                <w:szCs w:val="20"/>
              </w:rPr>
              <w:t>255 239 016</w:t>
            </w:r>
          </w:p>
        </w:tc>
      </w:tr>
    </w:tbl>
    <w:p w14:paraId="1C1E8894" w14:textId="4AE123B0" w:rsidR="003068C9" w:rsidRDefault="003068C9" w:rsidP="003068C9">
      <w:pPr>
        <w:rPr>
          <w:i/>
          <w:sz w:val="16"/>
        </w:rPr>
      </w:pPr>
      <w:r w:rsidRPr="009F1AE2">
        <w:rPr>
          <w:i/>
          <w:sz w:val="16"/>
        </w:rPr>
        <w:t>Zdroj: Štúdia uskutočniteľnosti EMS</w:t>
      </w:r>
    </w:p>
    <w:p w14:paraId="3A230083" w14:textId="77777777" w:rsidR="00366F12" w:rsidRPr="009F1AE2" w:rsidRDefault="00366F12" w:rsidP="003068C9">
      <w:pPr>
        <w:rPr>
          <w:i/>
          <w:sz w:val="16"/>
        </w:rPr>
      </w:pPr>
    </w:p>
    <w:p w14:paraId="3BD8F211" w14:textId="77777777" w:rsidR="003068C9" w:rsidRDefault="003068C9" w:rsidP="003068C9">
      <w:pPr>
        <w:pStyle w:val="Heading3"/>
      </w:pPr>
      <w:bookmarkStart w:id="69" w:name="_Toc87348722"/>
      <w:r>
        <w:t>Celkové náklady životného cyklu projektu</w:t>
      </w:r>
      <w:bookmarkEnd w:id="69"/>
    </w:p>
    <w:p w14:paraId="0CCB39C4" w14:textId="1B52AC51" w:rsidR="003068C9" w:rsidRPr="008915A2" w:rsidRDefault="003068C9" w:rsidP="003068C9">
      <w:r>
        <w:t>Celkové náklady životného cyklu projektu vo variant</w:t>
      </w:r>
      <w:r w:rsidR="007075EA">
        <w:t>e</w:t>
      </w:r>
      <w:r>
        <w:t xml:space="preserve"> </w:t>
      </w:r>
      <w:r w:rsidR="00B35F83">
        <w:t>2</w:t>
      </w:r>
      <w:r w:rsidR="00BC423F">
        <w:t>,</w:t>
      </w:r>
      <w:r>
        <w:t xml:space="preserve"> </w:t>
      </w:r>
      <w:r w:rsidR="00BC423F">
        <w:t xml:space="preserve">pri ktorom je </w:t>
      </w:r>
      <w:r>
        <w:t>odmena poskytovateľov</w:t>
      </w:r>
      <w:r w:rsidR="00BC423F">
        <w:t xml:space="preserve"> EETS stanovená pevným</w:t>
      </w:r>
      <w:r>
        <w:t xml:space="preserve"> </w:t>
      </w:r>
      <w:r w:rsidR="00B35F83">
        <w:t>percentom z výberu mýta</w:t>
      </w:r>
      <w:r>
        <w:t xml:space="preserve"> za päťročné obdobie prevádzkovania výberu mýta predstavujú sumu </w:t>
      </w:r>
      <w:r w:rsidR="00BC423F" w:rsidRPr="00A40297">
        <w:rPr>
          <w:b/>
        </w:rPr>
        <w:t xml:space="preserve">363 </w:t>
      </w:r>
      <w:r w:rsidR="006F35CF">
        <w:rPr>
          <w:b/>
        </w:rPr>
        <w:t>866</w:t>
      </w:r>
      <w:r w:rsidR="006F35CF" w:rsidRPr="00A40297">
        <w:rPr>
          <w:b/>
        </w:rPr>
        <w:t> </w:t>
      </w:r>
      <w:r w:rsidR="006F35CF">
        <w:rPr>
          <w:b/>
        </w:rPr>
        <w:t>426</w:t>
      </w:r>
      <w:r w:rsidR="006F35CF">
        <w:t xml:space="preserve"> </w:t>
      </w:r>
      <w:r w:rsidRPr="008915A2">
        <w:rPr>
          <w:b/>
        </w:rPr>
        <w:t>Eur</w:t>
      </w:r>
      <w:r>
        <w:t xml:space="preserve"> bez DPH. </w:t>
      </w:r>
      <w:r w:rsidR="00BC423F">
        <w:t xml:space="preserve">Celkové náklady zahŕňajú odmenu SkyTollu </w:t>
      </w:r>
      <w:r w:rsidR="001F20DC">
        <w:t>v súvislosti so zavedením EETS a</w:t>
      </w:r>
      <w:r w:rsidR="00BC423F">
        <w:t xml:space="preserve"> zabezpečením </w:t>
      </w:r>
      <w:r w:rsidR="006C4D31">
        <w:t xml:space="preserve">5 </w:t>
      </w:r>
      <w:r w:rsidR="001F20DC">
        <w:t xml:space="preserve">rokov prevádzky </w:t>
      </w:r>
      <w:r w:rsidR="00BC423F">
        <w:t xml:space="preserve">v sume </w:t>
      </w:r>
      <w:r w:rsidR="00703EEF">
        <w:t>10 </w:t>
      </w:r>
      <w:r w:rsidR="006F35CF">
        <w:t xml:space="preserve">460 922 </w:t>
      </w:r>
      <w:r w:rsidR="001F20DC">
        <w:t>Eur bez DPH, a </w:t>
      </w:r>
      <w:r w:rsidR="00BC423F">
        <w:t xml:space="preserve">predpokladanú sumu </w:t>
      </w:r>
      <w:r w:rsidR="001F20DC">
        <w:t xml:space="preserve">odmien, ktorá bude podľa zvolenej metodiky náležať poskytovateľom EETS za </w:t>
      </w:r>
      <w:r w:rsidR="006C4D31">
        <w:t>5</w:t>
      </w:r>
      <w:r w:rsidR="00814824">
        <w:t> </w:t>
      </w:r>
      <w:r w:rsidR="001F20DC">
        <w:t xml:space="preserve">rokov služieb </w:t>
      </w:r>
      <w:r w:rsidR="00BC423F">
        <w:t xml:space="preserve">EETS </w:t>
      </w:r>
      <w:r w:rsidR="003837E0">
        <w:t xml:space="preserve">po odpočítaní nákladov </w:t>
      </w:r>
      <w:r w:rsidR="00B324B6">
        <w:t>Správc</w:t>
      </w:r>
      <w:r w:rsidR="003837E0">
        <w:t>u výberu mýta v súvislosti s realizáciou a prevádzkou EETS podľa</w:t>
      </w:r>
      <w:r>
        <w:t xml:space="preserve"> článku 7 ods. 3 písm. b) </w:t>
      </w:r>
      <w:r w:rsidR="003837E0">
        <w:t>Smernice</w:t>
      </w:r>
      <w:r w:rsidR="00BC423F">
        <w:t>, celko</w:t>
      </w:r>
      <w:r w:rsidR="00814824">
        <w:t>vo</w:t>
      </w:r>
      <w:r w:rsidR="00BC423F">
        <w:t xml:space="preserve"> </w:t>
      </w:r>
      <w:r w:rsidR="00703EEF">
        <w:t>21 459</w:t>
      </w:r>
      <w:r w:rsidR="00BC423F">
        <w:t> </w:t>
      </w:r>
      <w:r w:rsidR="00670D75">
        <w:t>565</w:t>
      </w:r>
      <w:r w:rsidR="00BC423F">
        <w:t xml:space="preserve"> </w:t>
      </w:r>
      <w:r w:rsidR="00432DA6">
        <w:t>Eur bez DPH</w:t>
      </w:r>
      <w:r w:rsidR="003837E0">
        <w:t>.</w:t>
      </w:r>
      <w:r>
        <w:t xml:space="preserve">    </w:t>
      </w:r>
    </w:p>
    <w:p w14:paraId="1386EF3C" w14:textId="77777777" w:rsidR="003068C9" w:rsidRPr="003068C9" w:rsidRDefault="003068C9" w:rsidP="003068C9"/>
    <w:p w14:paraId="2644F88D" w14:textId="6C44C98D" w:rsidR="00E3086F" w:rsidRDefault="00E3086F" w:rsidP="00E3086F">
      <w:pPr>
        <w:pStyle w:val="Heading2"/>
      </w:pPr>
      <w:bookmarkStart w:id="70" w:name="_Toc87348723"/>
      <w:r>
        <w:t>Preferovaný variant</w:t>
      </w:r>
      <w:bookmarkEnd w:id="70"/>
    </w:p>
    <w:p w14:paraId="25F5175E" w14:textId="0F747E6F" w:rsidR="00432DA6" w:rsidRDefault="00580061" w:rsidP="00432DA6">
      <w:r>
        <w:t xml:space="preserve">Výber preferovaného variantu sa obmedzuje na posúdenie alternatív biznis modelu odmeny a financovania projektu EETS meraného ukazovateľom celkových nákladov projektu </w:t>
      </w:r>
      <w:r w:rsidR="008B3EFC">
        <w:t xml:space="preserve">(TCO) </w:t>
      </w:r>
      <w:r>
        <w:t xml:space="preserve">za obdobie 5 rokov prevádzky. Ostatné parametre a architektúra projektu sú považované za pevné, vyplývajú </w:t>
      </w:r>
      <w:r>
        <w:lastRenderedPageBreak/>
        <w:t>predovšetkým z kontextu Smernice a medzinárodných štandardov a z platnej a účinnej Zmluvy ETC</w:t>
      </w:r>
      <w:r w:rsidR="008B3EFC">
        <w:t xml:space="preserve"> a ako také sú pre posudzované varianty rovnaké.</w:t>
      </w:r>
      <w:r>
        <w:t xml:space="preserve">    </w:t>
      </w:r>
      <w:r w:rsidR="00432DA6">
        <w:t xml:space="preserve"> </w:t>
      </w:r>
    </w:p>
    <w:p w14:paraId="3E7FEFEC" w14:textId="0D3383D5" w:rsidR="00081737" w:rsidRDefault="00081737" w:rsidP="00FA6605">
      <w:pPr>
        <w:pStyle w:val="Caption"/>
      </w:pPr>
      <w:r>
        <w:t xml:space="preserve">Tab. </w:t>
      </w:r>
      <w:r>
        <w:fldChar w:fldCharType="begin"/>
      </w:r>
      <w:r>
        <w:instrText xml:space="preserve"> SEQ Tab. \* ARABIC </w:instrText>
      </w:r>
      <w:r>
        <w:fldChar w:fldCharType="separate"/>
      </w:r>
      <w:r w:rsidR="00A86720">
        <w:rPr>
          <w:noProof/>
        </w:rPr>
        <w:t>18</w:t>
      </w:r>
      <w:r>
        <w:fldChar w:fldCharType="end"/>
      </w:r>
      <w:r>
        <w:t xml:space="preserve"> - Celkové náklady projektu za implementáciu a 5 rokov prevádzky EETS</w:t>
      </w:r>
    </w:p>
    <w:tbl>
      <w:tblPr>
        <w:tblW w:w="91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7225"/>
        <w:gridCol w:w="1938"/>
      </w:tblGrid>
      <w:tr w:rsidR="005553A1" w:rsidRPr="005553A1" w14:paraId="37305269" w14:textId="77777777" w:rsidTr="00A40297">
        <w:trPr>
          <w:trHeight w:val="255"/>
        </w:trPr>
        <w:tc>
          <w:tcPr>
            <w:tcW w:w="7225" w:type="dxa"/>
            <w:shd w:val="clear" w:color="auto" w:fill="BDD6EE" w:themeFill="accent1" w:themeFillTint="66"/>
            <w:noWrap/>
            <w:vAlign w:val="center"/>
            <w:hideMark/>
          </w:tcPr>
          <w:p w14:paraId="282B728F" w14:textId="1373B36A" w:rsidR="00081737" w:rsidRPr="005553A1" w:rsidRDefault="00081737" w:rsidP="005553A1">
            <w:pPr>
              <w:spacing w:before="0" w:after="0" w:line="240" w:lineRule="auto"/>
              <w:ind w:left="851"/>
              <w:jc w:val="left"/>
              <w:rPr>
                <w:rFonts w:ascii="Calibri" w:hAnsi="Calibri"/>
                <w:bCs/>
                <w:szCs w:val="20"/>
              </w:rPr>
            </w:pPr>
            <w:r w:rsidRPr="005553A1">
              <w:rPr>
                <w:rFonts w:ascii="Calibri" w:hAnsi="Calibri"/>
                <w:bCs/>
                <w:szCs w:val="20"/>
              </w:rPr>
              <w:t>Variant</w:t>
            </w:r>
          </w:p>
        </w:tc>
        <w:tc>
          <w:tcPr>
            <w:tcW w:w="1938" w:type="dxa"/>
            <w:shd w:val="clear" w:color="auto" w:fill="BDD6EE" w:themeFill="accent1" w:themeFillTint="66"/>
            <w:noWrap/>
            <w:vAlign w:val="center"/>
            <w:hideMark/>
          </w:tcPr>
          <w:p w14:paraId="25D6A979" w14:textId="02068CF8" w:rsidR="00081737" w:rsidRPr="005553A1" w:rsidRDefault="00081737" w:rsidP="00081737">
            <w:pPr>
              <w:spacing w:before="0" w:after="0" w:line="240" w:lineRule="auto"/>
              <w:jc w:val="center"/>
              <w:rPr>
                <w:rFonts w:ascii="Calibri" w:hAnsi="Calibri"/>
                <w:bCs/>
                <w:szCs w:val="20"/>
              </w:rPr>
            </w:pPr>
            <w:r w:rsidRPr="005553A1">
              <w:rPr>
                <w:rFonts w:ascii="Calibri" w:hAnsi="Calibri"/>
                <w:bCs/>
                <w:szCs w:val="20"/>
              </w:rPr>
              <w:t>Celkové náklady projektu [Eur]</w:t>
            </w:r>
          </w:p>
        </w:tc>
      </w:tr>
      <w:tr w:rsidR="00BC423F" w:rsidRPr="00081737" w14:paraId="14A658A8" w14:textId="77777777" w:rsidTr="00A40297">
        <w:trPr>
          <w:trHeight w:val="255"/>
        </w:trPr>
        <w:tc>
          <w:tcPr>
            <w:tcW w:w="7225" w:type="dxa"/>
            <w:shd w:val="clear" w:color="000000" w:fill="DDEBF7"/>
            <w:noWrap/>
            <w:vAlign w:val="bottom"/>
            <w:hideMark/>
          </w:tcPr>
          <w:p w14:paraId="53D65C9C" w14:textId="7824122A" w:rsidR="00BC423F" w:rsidRPr="00081737" w:rsidRDefault="00BC423F" w:rsidP="00BC423F">
            <w:pPr>
              <w:spacing w:before="0" w:after="0" w:line="240" w:lineRule="auto"/>
              <w:jc w:val="left"/>
              <w:rPr>
                <w:rFonts w:ascii="Calibri" w:hAnsi="Calibri"/>
                <w:color w:val="000000"/>
                <w:szCs w:val="20"/>
              </w:rPr>
            </w:pPr>
            <w:r w:rsidRPr="00081737">
              <w:rPr>
                <w:rFonts w:ascii="Calibri" w:hAnsi="Calibri"/>
                <w:color w:val="000000"/>
                <w:szCs w:val="20"/>
              </w:rPr>
              <w:t>Variant 0</w:t>
            </w:r>
            <w:r>
              <w:rPr>
                <w:rFonts w:ascii="Calibri" w:hAnsi="Calibri"/>
                <w:color w:val="000000"/>
                <w:szCs w:val="20"/>
              </w:rPr>
              <w:t xml:space="preserve"> – bez projektu</w:t>
            </w:r>
          </w:p>
        </w:tc>
        <w:tc>
          <w:tcPr>
            <w:tcW w:w="1938" w:type="dxa"/>
            <w:shd w:val="clear" w:color="auto" w:fill="auto"/>
            <w:noWrap/>
            <w:vAlign w:val="center"/>
            <w:hideMark/>
          </w:tcPr>
          <w:p w14:paraId="61ABBE09" w14:textId="37386016" w:rsidR="00BC423F" w:rsidRPr="00081737" w:rsidRDefault="00BC423F" w:rsidP="00BC423F">
            <w:pPr>
              <w:spacing w:before="0" w:after="0" w:line="240" w:lineRule="auto"/>
              <w:jc w:val="right"/>
              <w:rPr>
                <w:rFonts w:ascii="Calibri" w:hAnsi="Calibri"/>
                <w:color w:val="000000"/>
                <w:szCs w:val="20"/>
              </w:rPr>
            </w:pPr>
            <w:r>
              <w:rPr>
                <w:rFonts w:ascii="Calibri" w:hAnsi="Calibri" w:cs="Calibri"/>
                <w:color w:val="000000"/>
                <w:szCs w:val="20"/>
              </w:rPr>
              <w:t>358 661 243</w:t>
            </w:r>
          </w:p>
        </w:tc>
      </w:tr>
      <w:tr w:rsidR="00BC423F" w:rsidRPr="00081737" w14:paraId="689E1E82" w14:textId="77777777" w:rsidTr="00A40297">
        <w:trPr>
          <w:trHeight w:val="255"/>
        </w:trPr>
        <w:tc>
          <w:tcPr>
            <w:tcW w:w="7225" w:type="dxa"/>
            <w:shd w:val="clear" w:color="000000" w:fill="DDEBF7"/>
            <w:noWrap/>
            <w:vAlign w:val="bottom"/>
            <w:hideMark/>
          </w:tcPr>
          <w:p w14:paraId="4CA3E266" w14:textId="0B4FE6CA" w:rsidR="00BC423F" w:rsidRPr="00081737" w:rsidRDefault="00BC423F" w:rsidP="00BC423F">
            <w:pPr>
              <w:spacing w:before="0" w:after="0" w:line="240" w:lineRule="auto"/>
              <w:jc w:val="left"/>
              <w:rPr>
                <w:rFonts w:ascii="Calibri" w:hAnsi="Calibri"/>
                <w:color w:val="000000"/>
                <w:szCs w:val="20"/>
              </w:rPr>
            </w:pPr>
            <w:r w:rsidRPr="00081737">
              <w:rPr>
                <w:rFonts w:ascii="Calibri" w:hAnsi="Calibri"/>
                <w:color w:val="000000"/>
                <w:szCs w:val="20"/>
              </w:rPr>
              <w:t xml:space="preserve">Variant 1 – odmena </w:t>
            </w:r>
            <w:r>
              <w:rPr>
                <w:rFonts w:ascii="Calibri" w:hAnsi="Calibri"/>
                <w:color w:val="000000"/>
                <w:szCs w:val="20"/>
              </w:rPr>
              <w:t>poskytovateľom EETS za mýtne transakcie</w:t>
            </w:r>
          </w:p>
        </w:tc>
        <w:tc>
          <w:tcPr>
            <w:tcW w:w="1938" w:type="dxa"/>
            <w:shd w:val="clear" w:color="auto" w:fill="auto"/>
            <w:noWrap/>
            <w:vAlign w:val="center"/>
            <w:hideMark/>
          </w:tcPr>
          <w:p w14:paraId="463133D4" w14:textId="08CAFBE8" w:rsidR="00BC423F" w:rsidRPr="00081737" w:rsidRDefault="00BC423F" w:rsidP="00BC423F">
            <w:pPr>
              <w:spacing w:before="0" w:after="0" w:line="240" w:lineRule="auto"/>
              <w:jc w:val="right"/>
              <w:rPr>
                <w:rFonts w:ascii="Calibri" w:hAnsi="Calibri"/>
                <w:color w:val="000000"/>
                <w:szCs w:val="20"/>
              </w:rPr>
            </w:pPr>
            <w:r>
              <w:rPr>
                <w:rFonts w:ascii="Calibri" w:hAnsi="Calibri" w:cs="Calibri"/>
                <w:color w:val="000000"/>
                <w:szCs w:val="20"/>
              </w:rPr>
              <w:t>362 031 049</w:t>
            </w:r>
          </w:p>
        </w:tc>
      </w:tr>
      <w:tr w:rsidR="00BC423F" w:rsidRPr="00081737" w14:paraId="23215D02" w14:textId="77777777" w:rsidTr="00A40297">
        <w:trPr>
          <w:trHeight w:val="255"/>
        </w:trPr>
        <w:tc>
          <w:tcPr>
            <w:tcW w:w="7225" w:type="dxa"/>
            <w:shd w:val="clear" w:color="000000" w:fill="DDEBF7"/>
            <w:noWrap/>
            <w:vAlign w:val="bottom"/>
            <w:hideMark/>
          </w:tcPr>
          <w:p w14:paraId="150560E8" w14:textId="0703A0FA" w:rsidR="00BC423F" w:rsidRPr="00081737" w:rsidRDefault="00BC423F" w:rsidP="00BC423F">
            <w:pPr>
              <w:spacing w:before="0" w:after="0" w:line="240" w:lineRule="auto"/>
              <w:jc w:val="left"/>
              <w:rPr>
                <w:rFonts w:ascii="Calibri" w:hAnsi="Calibri"/>
                <w:color w:val="000000"/>
                <w:szCs w:val="20"/>
              </w:rPr>
            </w:pPr>
            <w:r w:rsidRPr="00081737">
              <w:rPr>
                <w:rFonts w:ascii="Calibri" w:hAnsi="Calibri"/>
                <w:color w:val="000000"/>
                <w:szCs w:val="20"/>
              </w:rPr>
              <w:t>Variant 2</w:t>
            </w:r>
            <w:r>
              <w:rPr>
                <w:rFonts w:ascii="Calibri" w:hAnsi="Calibri"/>
                <w:color w:val="000000"/>
                <w:szCs w:val="20"/>
              </w:rPr>
              <w:t xml:space="preserve"> – odmena poskytovateľom EETS percentom z výberu mýta zníženým o náklady </w:t>
            </w:r>
            <w:r w:rsidR="00B324B6">
              <w:rPr>
                <w:rFonts w:ascii="Calibri" w:hAnsi="Calibri"/>
                <w:color w:val="000000"/>
                <w:szCs w:val="20"/>
              </w:rPr>
              <w:t>Správc</w:t>
            </w:r>
            <w:r>
              <w:rPr>
                <w:rFonts w:ascii="Calibri" w:hAnsi="Calibri"/>
                <w:color w:val="000000"/>
                <w:szCs w:val="20"/>
              </w:rPr>
              <w:t>u výberu mýta na zabezpečenie EETS</w:t>
            </w:r>
          </w:p>
        </w:tc>
        <w:tc>
          <w:tcPr>
            <w:tcW w:w="1938" w:type="dxa"/>
            <w:shd w:val="clear" w:color="auto" w:fill="auto"/>
            <w:noWrap/>
            <w:vAlign w:val="center"/>
            <w:hideMark/>
          </w:tcPr>
          <w:p w14:paraId="0A636B8B" w14:textId="05B2BD83" w:rsidR="00BC423F" w:rsidRPr="00081737" w:rsidRDefault="00CD1571" w:rsidP="00BC423F">
            <w:pPr>
              <w:spacing w:before="0" w:after="0" w:line="240" w:lineRule="auto"/>
              <w:jc w:val="right"/>
              <w:rPr>
                <w:rFonts w:ascii="Calibri" w:hAnsi="Calibri"/>
                <w:color w:val="000000"/>
                <w:szCs w:val="20"/>
              </w:rPr>
            </w:pPr>
            <w:r>
              <w:rPr>
                <w:rFonts w:ascii="Calibri" w:hAnsi="Calibri" w:cs="Calibri"/>
                <w:color w:val="000000"/>
                <w:szCs w:val="20"/>
              </w:rPr>
              <w:t>357 455 178</w:t>
            </w:r>
          </w:p>
        </w:tc>
      </w:tr>
    </w:tbl>
    <w:p w14:paraId="73BC72DD" w14:textId="4E3D70AB" w:rsidR="00DA4343" w:rsidRPr="0037598E" w:rsidRDefault="00DA4343" w:rsidP="00DA4343">
      <w:pPr>
        <w:rPr>
          <w:i/>
          <w:sz w:val="16"/>
        </w:rPr>
      </w:pPr>
      <w:r w:rsidRPr="0037598E">
        <w:rPr>
          <w:i/>
          <w:sz w:val="16"/>
        </w:rPr>
        <w:t>Zdroj: údaj</w:t>
      </w:r>
      <w:r>
        <w:rPr>
          <w:i/>
          <w:sz w:val="16"/>
        </w:rPr>
        <w:t>e v príslušných</w:t>
      </w:r>
      <w:r w:rsidRPr="0037598E">
        <w:rPr>
          <w:i/>
          <w:sz w:val="16"/>
        </w:rPr>
        <w:t xml:space="preserve"> tabuľkách vyššie</w:t>
      </w:r>
    </w:p>
    <w:p w14:paraId="38282804" w14:textId="77777777" w:rsidR="00366F12" w:rsidRDefault="00366F12" w:rsidP="00432DA6"/>
    <w:p w14:paraId="45F04A43" w14:textId="34A85095" w:rsidR="009757C3" w:rsidRDefault="009757C3" w:rsidP="00432DA6">
      <w:r w:rsidRPr="00A40297">
        <w:t xml:space="preserve">Na základe </w:t>
      </w:r>
      <w:r>
        <w:t xml:space="preserve">porovnania výsledkov modelovania celkových nákladov projektu nie je možné jednoznačne určiť preferovaný variant, pretože výsledné celkové náklady za vybudovanie a prevádzku počas 5 rokov sú pre oba varianty veľmi blízke, </w:t>
      </w:r>
      <w:r w:rsidR="00CD1571">
        <w:t>ich vzájomný rozptyl neprevyšuje 1 %</w:t>
      </w:r>
      <w:r>
        <w:t>. Takto malý rozdiel je hlboko pod štatistickou chybou jednotlivých hypotéz, ktoré boli vzaté do úvahy pri zostav</w:t>
      </w:r>
      <w:r w:rsidR="00814824">
        <w:t>ovan</w:t>
      </w:r>
      <w:r>
        <w:t>í prognózy odhadu budúceho vývoja dopytu a ponuky. Z uvedených dôvodov bude vykonaná finančná a ekonomická analýza a analýza citlivosti pre oba varianty 1 a 2.</w:t>
      </w:r>
    </w:p>
    <w:p w14:paraId="70BBA7D0" w14:textId="17EDC1FE" w:rsidR="00503DA8" w:rsidRDefault="00503DA8" w:rsidP="00503DA8">
      <w:r w:rsidRPr="00A40297">
        <w:t>Variant 0</w:t>
      </w:r>
      <w:r>
        <w:t xml:space="preserve"> – súčasný stav „bez projektu EETS“ nie je vhodné zachovať, pretože </w:t>
      </w:r>
      <w:r w:rsidR="00AB59DC">
        <w:t xml:space="preserve">v takom prípade </w:t>
      </w:r>
      <w:r w:rsidR="00B324B6">
        <w:t>Správc</w:t>
      </w:r>
      <w:r>
        <w:t>a výberu mýta nenapĺňa požiadavky ZVM a súvisiacich Európskych predpisov</w:t>
      </w:r>
      <w:r w:rsidR="00814824">
        <w:t>,</w:t>
      </w:r>
      <w:r w:rsidR="002D787E">
        <w:t xml:space="preserve"> a</w:t>
      </w:r>
      <w:r w:rsidR="00814824">
        <w:t xml:space="preserve"> tiež </w:t>
      </w:r>
      <w:r w:rsidR="002D787E">
        <w:t xml:space="preserve">hrozí </w:t>
      </w:r>
      <w:r w:rsidR="002D787E" w:rsidRPr="002D787E">
        <w:t>začatie formálneho konania voči Slovenskej republike o porušení povinnosti vyplývajúcej z práva EÚ</w:t>
      </w:r>
      <w:r w:rsidR="002D787E">
        <w:t xml:space="preserve"> a/alebo žaloby záujemcov o poskytovanie EETS na odškodnenie.</w:t>
      </w:r>
      <w:r>
        <w:t xml:space="preserve"> </w:t>
      </w:r>
    </w:p>
    <w:p w14:paraId="364B1A9F" w14:textId="66D1658B" w:rsidR="00CD1571" w:rsidRDefault="00CD1571" w:rsidP="00A40297">
      <w:pPr>
        <w:keepNext/>
        <w:jc w:val="left"/>
      </w:pPr>
      <w:r>
        <w:rPr>
          <w:noProof/>
          <w:lang w:val="cs-CZ"/>
        </w:rPr>
        <w:drawing>
          <wp:inline distT="0" distB="0" distL="0" distR="0" wp14:anchorId="68EF03F6" wp14:editId="3477EF40">
            <wp:extent cx="3591560" cy="2134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6791" cy="2143827"/>
                    </a:xfrm>
                    <a:prstGeom prst="rect">
                      <a:avLst/>
                    </a:prstGeom>
                    <a:noFill/>
                  </pic:spPr>
                </pic:pic>
              </a:graphicData>
            </a:graphic>
          </wp:inline>
        </w:drawing>
      </w:r>
    </w:p>
    <w:p w14:paraId="50C3FC29" w14:textId="19E6CD74" w:rsidR="00BA36DE" w:rsidRDefault="00E045C7" w:rsidP="00FA6605">
      <w:pPr>
        <w:pStyle w:val="Caption"/>
      </w:pPr>
      <w:r>
        <w:t xml:space="preserve">Obr. </w:t>
      </w:r>
      <w:r>
        <w:fldChar w:fldCharType="begin"/>
      </w:r>
      <w:r>
        <w:instrText xml:space="preserve"> SEQ Obr. \* ARABIC </w:instrText>
      </w:r>
      <w:r>
        <w:fldChar w:fldCharType="separate"/>
      </w:r>
      <w:r w:rsidR="00A86720">
        <w:rPr>
          <w:noProof/>
        </w:rPr>
        <w:t>3</w:t>
      </w:r>
      <w:r>
        <w:fldChar w:fldCharType="end"/>
      </w:r>
      <w:r>
        <w:t xml:space="preserve"> - Celkové náklady realizácie a prevádzky EETS za 5 rokov</w:t>
      </w:r>
    </w:p>
    <w:p w14:paraId="0B058D6F" w14:textId="7D1AFF42" w:rsidR="003C67FC" w:rsidRDefault="003C67FC" w:rsidP="005A7D49"/>
    <w:p w14:paraId="240738E8" w14:textId="7A8DE32E" w:rsidR="00CD1571" w:rsidRDefault="00CD1571">
      <w:pPr>
        <w:spacing w:before="0" w:after="0" w:line="240" w:lineRule="auto"/>
        <w:jc w:val="left"/>
      </w:pPr>
      <w:r>
        <w:br w:type="page"/>
      </w:r>
    </w:p>
    <w:p w14:paraId="0B35170B" w14:textId="3CD95CF0" w:rsidR="00430681" w:rsidRDefault="00430681" w:rsidP="00430681">
      <w:pPr>
        <w:pStyle w:val="Heading1"/>
      </w:pPr>
      <w:bookmarkStart w:id="71" w:name="_Toc87348724"/>
      <w:r w:rsidRPr="00430681">
        <w:lastRenderedPageBreak/>
        <w:t>Prípravná trhová konzultácia</w:t>
      </w:r>
      <w:bookmarkEnd w:id="71"/>
    </w:p>
    <w:p w14:paraId="32F8550D" w14:textId="4FA04362" w:rsidR="00B52C40" w:rsidRDefault="00B52C40" w:rsidP="00D90DFE">
      <w:r>
        <w:t xml:space="preserve">Služby implementácie EETS do </w:t>
      </w:r>
      <w:r w:rsidR="00AB59DC">
        <w:t xml:space="preserve">existujúcej </w:t>
      </w:r>
      <w:r>
        <w:t>komplexnej služby elektronického výberu mýta môže poskytnúť len určitý hospodársky subjekt</w:t>
      </w:r>
      <w:r w:rsidR="00D90DFE">
        <w:t xml:space="preserve"> </w:t>
      </w:r>
      <w:r>
        <w:t xml:space="preserve">za podmienok § 81 písm. b) ZVO. </w:t>
      </w:r>
    </w:p>
    <w:p w14:paraId="79CF366E" w14:textId="28529502" w:rsidR="00D90DFE" w:rsidRDefault="00B52C40" w:rsidP="00D90DFE">
      <w:r>
        <w:t>Všetky práva k infraštruktúre (najmä</w:t>
      </w:r>
      <w:r w:rsidR="006C4D31">
        <w:t>,</w:t>
      </w:r>
      <w:r>
        <w:t xml:space="preserve"> avšak nie výlučne k softvéru) komplexnej služby elektronického výberu mýta vykonáva spoločnosť SkyToll. Realizácia projektu znamená zásah do infraštruktúry, rozšírenie a zmeny softvéru, na ktoré sa vzťahujú ustanovenia o zmenách podľa Zmluvy ETC. Z uvedeného dôvodu nie je prípravná trhová konzultácia </w:t>
      </w:r>
      <w:r w:rsidR="008F0BD6">
        <w:t xml:space="preserve">v plnom rozsahu </w:t>
      </w:r>
      <w:r w:rsidR="005F036C">
        <w:t xml:space="preserve">pre tento projekt </w:t>
      </w:r>
      <w:r w:rsidR="006779A3">
        <w:t xml:space="preserve">relevantná </w:t>
      </w:r>
      <w:r w:rsidR="005F036C">
        <w:t>a pre účely tejto štúdie boli potrebné informácie čerpané z</w:t>
      </w:r>
      <w:r w:rsidR="00471DFC">
        <w:t> </w:t>
      </w:r>
      <w:r w:rsidR="00670D75">
        <w:t xml:space="preserve">aktualizovaného </w:t>
      </w:r>
      <w:r w:rsidR="005F036C">
        <w:t xml:space="preserve">návrhu uskutočnenia zmeny </w:t>
      </w:r>
      <w:r w:rsidR="00670D75">
        <w:t>na zavedenie EETS</w:t>
      </w:r>
      <w:r w:rsidR="005F036C">
        <w:t>.</w:t>
      </w:r>
    </w:p>
    <w:p w14:paraId="012AB457" w14:textId="092B3355" w:rsidR="008F0BD6" w:rsidRDefault="008F0BD6" w:rsidP="00D90DFE">
      <w:r>
        <w:t>V rámci prípravnej trhovej konzultácie boli vyžiadané a prerokované viaceré technické a cenové návrhy od dodávateľa SkyToll.</w:t>
      </w:r>
    </w:p>
    <w:p w14:paraId="7B3BCB3F" w14:textId="1F44F46A" w:rsidR="0006746B" w:rsidRPr="005B0F95" w:rsidRDefault="0006746B" w:rsidP="004015A1">
      <w:pPr>
        <w:rPr>
          <w:i/>
        </w:rPr>
      </w:pPr>
    </w:p>
    <w:p w14:paraId="7CC17A50" w14:textId="28DE9C07" w:rsidR="004015A1" w:rsidRDefault="004015A1" w:rsidP="00670D75">
      <w:pPr>
        <w:pStyle w:val="Heading2"/>
      </w:pPr>
      <w:bookmarkStart w:id="72" w:name="_Toc74323949"/>
      <w:bookmarkStart w:id="73" w:name="_Toc74324078"/>
      <w:bookmarkStart w:id="74" w:name="_Toc74324190"/>
      <w:bookmarkStart w:id="75" w:name="_Toc74324302"/>
      <w:bookmarkStart w:id="76" w:name="_Toc74324413"/>
      <w:bookmarkStart w:id="77" w:name="_Toc74324523"/>
      <w:bookmarkStart w:id="78" w:name="_Toc74324632"/>
      <w:bookmarkStart w:id="79" w:name="_Toc74324740"/>
      <w:bookmarkStart w:id="80" w:name="_Ref79369485"/>
      <w:bookmarkStart w:id="81" w:name="_Toc87348725"/>
      <w:bookmarkEnd w:id="72"/>
      <w:bookmarkEnd w:id="73"/>
      <w:bookmarkEnd w:id="74"/>
      <w:bookmarkEnd w:id="75"/>
      <w:bookmarkEnd w:id="76"/>
      <w:bookmarkEnd w:id="77"/>
      <w:bookmarkEnd w:id="78"/>
      <w:bookmarkEnd w:id="79"/>
      <w:r>
        <w:t>cenový návrh SkyToll</w:t>
      </w:r>
      <w:bookmarkEnd w:id="80"/>
      <w:bookmarkEnd w:id="81"/>
    </w:p>
    <w:p w14:paraId="63941B5A" w14:textId="4D68CCAA" w:rsidR="004015A1" w:rsidRDefault="004015A1" w:rsidP="00A40297">
      <w:r>
        <w:t>Na základe viacerých intenzívnych rokovaní medzi NDS a spoločnosťou SkyToll v priebehu I. polroka 2021 bol</w:t>
      </w:r>
      <w:r w:rsidR="00E4559C">
        <w:t>a</w:t>
      </w:r>
      <w:r>
        <w:t xml:space="preserve"> dosiahnut</w:t>
      </w:r>
      <w:r w:rsidR="00E4559C">
        <w:t>á</w:t>
      </w:r>
      <w:r>
        <w:t xml:space="preserve"> významn</w:t>
      </w:r>
      <w:r w:rsidR="00E4559C">
        <w:t>á</w:t>
      </w:r>
      <w:r>
        <w:t xml:space="preserve"> úprav</w:t>
      </w:r>
      <w:r w:rsidR="00E4559C">
        <w:t>a</w:t>
      </w:r>
      <w:r>
        <w:t xml:space="preserve"> ceny za implementáciu EETS. Okrem výsledkov obchodného rokovania sa zásadná úprava ceny opiera o spracovanie detailného návrhu biznis procesov a ich optimalizácie</w:t>
      </w:r>
      <w:r w:rsidR="00471DFC">
        <w:t xml:space="preserve"> podľa návrhu SkyToll</w:t>
      </w:r>
      <w:r>
        <w:t>, pričom došlo k zafixovaniu navrhovaného rozsahu a ošetreniu rizík na oboch stranách Zmluvy ETC.</w:t>
      </w:r>
    </w:p>
    <w:p w14:paraId="78C7A301" w14:textId="56D80E9A" w:rsidR="00E14BC4" w:rsidRDefault="00E14BC4" w:rsidP="00EF1CB7">
      <w:pPr>
        <w:pStyle w:val="Caption"/>
      </w:pPr>
      <w:bookmarkStart w:id="82" w:name="_Ref79369458"/>
      <w:r>
        <w:t xml:space="preserve">Tab. </w:t>
      </w:r>
      <w:r>
        <w:fldChar w:fldCharType="begin"/>
      </w:r>
      <w:r>
        <w:instrText xml:space="preserve"> SEQ Tab. \* ARABIC </w:instrText>
      </w:r>
      <w:r>
        <w:fldChar w:fldCharType="separate"/>
      </w:r>
      <w:r w:rsidR="00A86720">
        <w:rPr>
          <w:noProof/>
        </w:rPr>
        <w:t>19</w:t>
      </w:r>
      <w:r>
        <w:fldChar w:fldCharType="end"/>
      </w:r>
      <w:bookmarkEnd w:id="82"/>
      <w:r>
        <w:t xml:space="preserve"> - Náklady implementácie EETS, aktualizovaný cenový návrh SkyToll</w:t>
      </w:r>
    </w:p>
    <w:tbl>
      <w:tblPr>
        <w:tblW w:w="92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960"/>
        <w:gridCol w:w="4300"/>
        <w:gridCol w:w="1977"/>
        <w:gridCol w:w="1977"/>
      </w:tblGrid>
      <w:tr w:rsidR="00670D75" w:rsidRPr="005B0F95" w14:paraId="13D7DCD6" w14:textId="77777777" w:rsidTr="00471DFC">
        <w:trPr>
          <w:trHeight w:val="510"/>
          <w:tblHeader/>
        </w:trPr>
        <w:tc>
          <w:tcPr>
            <w:tcW w:w="960" w:type="dxa"/>
            <w:shd w:val="clear" w:color="000000" w:fill="BDD7EE"/>
            <w:vAlign w:val="bottom"/>
            <w:hideMark/>
          </w:tcPr>
          <w:p w14:paraId="250A91D6" w14:textId="77777777" w:rsidR="00670D75" w:rsidRPr="005B0F95" w:rsidRDefault="00670D75" w:rsidP="00471DFC">
            <w:pPr>
              <w:spacing w:before="0" w:after="0" w:line="240" w:lineRule="auto"/>
              <w:jc w:val="center"/>
              <w:rPr>
                <w:rFonts w:ascii="Calibri" w:hAnsi="Calibri"/>
                <w:color w:val="000000"/>
                <w:szCs w:val="20"/>
              </w:rPr>
            </w:pPr>
            <w:r w:rsidRPr="005B0F95">
              <w:rPr>
                <w:rFonts w:ascii="Calibri" w:hAnsi="Calibri"/>
                <w:color w:val="000000"/>
                <w:szCs w:val="20"/>
              </w:rPr>
              <w:t xml:space="preserve">Pol. </w:t>
            </w:r>
          </w:p>
        </w:tc>
        <w:tc>
          <w:tcPr>
            <w:tcW w:w="4300" w:type="dxa"/>
            <w:shd w:val="clear" w:color="000000" w:fill="BDD7EE"/>
            <w:vAlign w:val="bottom"/>
            <w:hideMark/>
          </w:tcPr>
          <w:p w14:paraId="2189863A" w14:textId="77777777" w:rsidR="00670D75" w:rsidRPr="005B0F95" w:rsidRDefault="00670D75" w:rsidP="00471DFC">
            <w:pPr>
              <w:spacing w:before="0" w:after="0" w:line="240" w:lineRule="auto"/>
              <w:jc w:val="left"/>
              <w:rPr>
                <w:rFonts w:ascii="Calibri" w:hAnsi="Calibri"/>
                <w:color w:val="000000"/>
                <w:szCs w:val="20"/>
              </w:rPr>
            </w:pPr>
            <w:r w:rsidRPr="005B0F95">
              <w:rPr>
                <w:rFonts w:ascii="Calibri" w:hAnsi="Calibri"/>
                <w:color w:val="000000"/>
                <w:szCs w:val="20"/>
              </w:rPr>
              <w:t>Popis</w:t>
            </w:r>
          </w:p>
        </w:tc>
        <w:tc>
          <w:tcPr>
            <w:tcW w:w="1977" w:type="dxa"/>
            <w:shd w:val="clear" w:color="000000" w:fill="BDD7EE"/>
            <w:vAlign w:val="bottom"/>
            <w:hideMark/>
          </w:tcPr>
          <w:p w14:paraId="33EF1D7D" w14:textId="77777777" w:rsidR="00670D75" w:rsidRPr="005B0F95" w:rsidRDefault="00670D75" w:rsidP="00471DFC">
            <w:pPr>
              <w:spacing w:before="0" w:after="0" w:line="240" w:lineRule="auto"/>
              <w:jc w:val="left"/>
              <w:rPr>
                <w:rFonts w:ascii="Calibri" w:hAnsi="Calibri"/>
                <w:color w:val="000000"/>
                <w:szCs w:val="20"/>
              </w:rPr>
            </w:pPr>
            <w:r w:rsidRPr="005B0F95">
              <w:rPr>
                <w:rFonts w:ascii="Calibri" w:hAnsi="Calibri"/>
                <w:color w:val="000000"/>
                <w:szCs w:val="20"/>
              </w:rPr>
              <w:t>Náklady realizácie</w:t>
            </w:r>
            <w:r w:rsidRPr="005B0F95">
              <w:rPr>
                <w:rFonts w:ascii="Calibri" w:hAnsi="Calibri"/>
                <w:color w:val="000000"/>
                <w:szCs w:val="20"/>
              </w:rPr>
              <w:br/>
              <w:t>[Eur]</w:t>
            </w:r>
          </w:p>
        </w:tc>
        <w:tc>
          <w:tcPr>
            <w:tcW w:w="1977" w:type="dxa"/>
            <w:shd w:val="clear" w:color="000000" w:fill="BDD7EE"/>
            <w:vAlign w:val="bottom"/>
            <w:hideMark/>
          </w:tcPr>
          <w:p w14:paraId="774B03A6" w14:textId="77777777" w:rsidR="00670D75" w:rsidRPr="005B0F95" w:rsidRDefault="00670D75" w:rsidP="00471DFC">
            <w:pPr>
              <w:spacing w:before="0" w:after="0" w:line="240" w:lineRule="auto"/>
              <w:jc w:val="left"/>
              <w:rPr>
                <w:rFonts w:ascii="Calibri" w:hAnsi="Calibri"/>
                <w:color w:val="000000"/>
                <w:szCs w:val="20"/>
              </w:rPr>
            </w:pPr>
            <w:r w:rsidRPr="005B0F95">
              <w:rPr>
                <w:rFonts w:ascii="Calibri" w:hAnsi="Calibri"/>
                <w:color w:val="000000"/>
                <w:szCs w:val="20"/>
              </w:rPr>
              <w:t>Ročné prevádzkové náklady [Eur]</w:t>
            </w:r>
          </w:p>
        </w:tc>
      </w:tr>
      <w:tr w:rsidR="00670D75" w:rsidRPr="005B0F95" w14:paraId="6AD75D08" w14:textId="77777777" w:rsidTr="00471DFC">
        <w:trPr>
          <w:trHeight w:val="255"/>
        </w:trPr>
        <w:tc>
          <w:tcPr>
            <w:tcW w:w="960" w:type="dxa"/>
            <w:shd w:val="clear" w:color="000000" w:fill="DDEBF7"/>
            <w:noWrap/>
            <w:vAlign w:val="bottom"/>
            <w:hideMark/>
          </w:tcPr>
          <w:p w14:paraId="5B3FB603" w14:textId="77777777" w:rsidR="00670D75" w:rsidRPr="005B0F95" w:rsidRDefault="00670D75" w:rsidP="00471DFC">
            <w:pPr>
              <w:spacing w:before="0" w:after="0" w:line="240" w:lineRule="auto"/>
              <w:jc w:val="center"/>
              <w:rPr>
                <w:rFonts w:ascii="Calibri" w:hAnsi="Calibri"/>
                <w:color w:val="000000"/>
                <w:szCs w:val="20"/>
              </w:rPr>
            </w:pPr>
            <w:r w:rsidRPr="005B0F95">
              <w:rPr>
                <w:rFonts w:ascii="Calibri" w:hAnsi="Calibri"/>
                <w:color w:val="000000"/>
                <w:szCs w:val="20"/>
              </w:rPr>
              <w:t>1</w:t>
            </w:r>
          </w:p>
        </w:tc>
        <w:tc>
          <w:tcPr>
            <w:tcW w:w="4300" w:type="dxa"/>
            <w:shd w:val="clear" w:color="000000" w:fill="DDEBF7"/>
            <w:noWrap/>
            <w:vAlign w:val="center"/>
            <w:hideMark/>
          </w:tcPr>
          <w:p w14:paraId="36367ABD" w14:textId="77777777" w:rsidR="00670D75" w:rsidRPr="005B0F95" w:rsidRDefault="00670D75" w:rsidP="00471DFC">
            <w:pPr>
              <w:spacing w:before="0" w:after="0" w:line="240" w:lineRule="auto"/>
              <w:jc w:val="left"/>
              <w:rPr>
                <w:rFonts w:ascii="Calibri" w:hAnsi="Calibri"/>
                <w:color w:val="000000"/>
                <w:szCs w:val="20"/>
              </w:rPr>
            </w:pPr>
            <w:r>
              <w:rPr>
                <w:rFonts w:ascii="Calibri" w:hAnsi="Calibri" w:cs="Calibri"/>
                <w:color w:val="000000"/>
                <w:szCs w:val="20"/>
              </w:rPr>
              <w:t>Realizácia rozšírenia EETS</w:t>
            </w:r>
          </w:p>
        </w:tc>
        <w:tc>
          <w:tcPr>
            <w:tcW w:w="1977" w:type="dxa"/>
            <w:shd w:val="clear" w:color="auto" w:fill="auto"/>
            <w:noWrap/>
            <w:vAlign w:val="center"/>
            <w:hideMark/>
          </w:tcPr>
          <w:p w14:paraId="630F82D8" w14:textId="77777777" w:rsidR="00670D75" w:rsidRPr="005B0F95" w:rsidRDefault="00670D75" w:rsidP="00471DFC">
            <w:pPr>
              <w:spacing w:before="0" w:after="0" w:line="240" w:lineRule="auto"/>
              <w:jc w:val="right"/>
              <w:rPr>
                <w:rFonts w:ascii="Calibri" w:hAnsi="Calibri"/>
                <w:color w:val="000000"/>
                <w:szCs w:val="20"/>
              </w:rPr>
            </w:pPr>
            <w:r>
              <w:rPr>
                <w:rFonts w:ascii="Calibri" w:hAnsi="Calibri" w:cs="Calibri"/>
                <w:szCs w:val="20"/>
              </w:rPr>
              <w:t>5 968 558,00</w:t>
            </w:r>
          </w:p>
        </w:tc>
        <w:tc>
          <w:tcPr>
            <w:tcW w:w="1977" w:type="dxa"/>
            <w:shd w:val="clear" w:color="auto" w:fill="auto"/>
            <w:noWrap/>
            <w:vAlign w:val="center"/>
            <w:hideMark/>
          </w:tcPr>
          <w:p w14:paraId="651B7EAB" w14:textId="77777777" w:rsidR="00670D75" w:rsidRPr="005B0F95" w:rsidRDefault="00670D75" w:rsidP="00471DFC">
            <w:pPr>
              <w:spacing w:before="0" w:after="0" w:line="240" w:lineRule="auto"/>
              <w:jc w:val="left"/>
              <w:rPr>
                <w:rFonts w:ascii="Calibri" w:hAnsi="Calibri"/>
                <w:color w:val="000000"/>
                <w:szCs w:val="20"/>
              </w:rPr>
            </w:pPr>
            <w:r>
              <w:rPr>
                <w:rFonts w:ascii="Calibri" w:hAnsi="Calibri" w:cs="Calibri"/>
                <w:szCs w:val="20"/>
              </w:rPr>
              <w:t> </w:t>
            </w:r>
          </w:p>
        </w:tc>
      </w:tr>
      <w:tr w:rsidR="00670D75" w:rsidRPr="005B0F95" w14:paraId="0A64DBDB" w14:textId="77777777" w:rsidTr="00471DFC">
        <w:trPr>
          <w:trHeight w:val="255"/>
        </w:trPr>
        <w:tc>
          <w:tcPr>
            <w:tcW w:w="960" w:type="dxa"/>
            <w:shd w:val="clear" w:color="000000" w:fill="DDEBF7"/>
            <w:noWrap/>
            <w:vAlign w:val="bottom"/>
            <w:hideMark/>
          </w:tcPr>
          <w:p w14:paraId="6318DFDC" w14:textId="77777777" w:rsidR="00670D75" w:rsidRPr="005B0F95" w:rsidRDefault="00670D75" w:rsidP="00471DFC">
            <w:pPr>
              <w:spacing w:before="0" w:after="0" w:line="240" w:lineRule="auto"/>
              <w:jc w:val="center"/>
              <w:rPr>
                <w:rFonts w:ascii="Calibri" w:hAnsi="Calibri"/>
                <w:color w:val="000000"/>
                <w:szCs w:val="20"/>
              </w:rPr>
            </w:pPr>
            <w:r w:rsidRPr="005B0F95">
              <w:rPr>
                <w:rFonts w:ascii="Calibri" w:hAnsi="Calibri"/>
                <w:color w:val="000000"/>
                <w:szCs w:val="20"/>
              </w:rPr>
              <w:t>2</w:t>
            </w:r>
          </w:p>
        </w:tc>
        <w:tc>
          <w:tcPr>
            <w:tcW w:w="4300" w:type="dxa"/>
            <w:shd w:val="clear" w:color="000000" w:fill="DDEBF7"/>
            <w:noWrap/>
            <w:vAlign w:val="center"/>
            <w:hideMark/>
          </w:tcPr>
          <w:p w14:paraId="4C50E0C0" w14:textId="77777777" w:rsidR="00670D75" w:rsidRPr="005B0F95" w:rsidRDefault="00670D75" w:rsidP="00471DFC">
            <w:pPr>
              <w:spacing w:before="0" w:after="0" w:line="240" w:lineRule="auto"/>
              <w:jc w:val="left"/>
              <w:rPr>
                <w:rFonts w:ascii="Calibri" w:hAnsi="Calibri"/>
                <w:color w:val="000000"/>
                <w:szCs w:val="20"/>
              </w:rPr>
            </w:pPr>
            <w:r>
              <w:rPr>
                <w:rFonts w:ascii="Calibri" w:hAnsi="Calibri" w:cs="Calibri"/>
                <w:color w:val="000000"/>
                <w:szCs w:val="20"/>
              </w:rPr>
              <w:t>Prevádzka rozšírenia EETS</w:t>
            </w:r>
          </w:p>
        </w:tc>
        <w:tc>
          <w:tcPr>
            <w:tcW w:w="1977" w:type="dxa"/>
            <w:shd w:val="clear" w:color="auto" w:fill="auto"/>
            <w:noWrap/>
            <w:vAlign w:val="center"/>
            <w:hideMark/>
          </w:tcPr>
          <w:p w14:paraId="55CAF9D2" w14:textId="77777777" w:rsidR="00670D75" w:rsidRPr="005B0F95" w:rsidRDefault="00670D75" w:rsidP="00471DFC">
            <w:pPr>
              <w:spacing w:before="0" w:after="0" w:line="240" w:lineRule="auto"/>
              <w:jc w:val="left"/>
              <w:rPr>
                <w:rFonts w:ascii="Calibri" w:hAnsi="Calibri"/>
                <w:color w:val="000000"/>
                <w:szCs w:val="20"/>
              </w:rPr>
            </w:pPr>
            <w:r>
              <w:rPr>
                <w:rFonts w:ascii="Calibri" w:hAnsi="Calibri" w:cs="Calibri"/>
                <w:szCs w:val="20"/>
              </w:rPr>
              <w:t> </w:t>
            </w:r>
          </w:p>
        </w:tc>
        <w:tc>
          <w:tcPr>
            <w:tcW w:w="1977" w:type="dxa"/>
            <w:shd w:val="clear" w:color="auto" w:fill="auto"/>
            <w:noWrap/>
            <w:vAlign w:val="center"/>
            <w:hideMark/>
          </w:tcPr>
          <w:p w14:paraId="66DEBF7C" w14:textId="77777777" w:rsidR="00670D75" w:rsidRPr="005B0F95" w:rsidRDefault="00670D75" w:rsidP="00471DFC">
            <w:pPr>
              <w:spacing w:before="0" w:after="0" w:line="240" w:lineRule="auto"/>
              <w:jc w:val="right"/>
              <w:rPr>
                <w:rFonts w:ascii="Calibri" w:hAnsi="Calibri"/>
                <w:color w:val="000000"/>
                <w:szCs w:val="20"/>
              </w:rPr>
            </w:pPr>
            <w:r>
              <w:rPr>
                <w:rFonts w:ascii="Calibri" w:hAnsi="Calibri" w:cs="Calibri"/>
                <w:szCs w:val="20"/>
              </w:rPr>
              <w:t>864 812,80</w:t>
            </w:r>
          </w:p>
        </w:tc>
      </w:tr>
      <w:tr w:rsidR="00670D75" w:rsidRPr="005B0F95" w14:paraId="6F3FBAB6" w14:textId="77777777" w:rsidTr="00471DFC">
        <w:trPr>
          <w:trHeight w:val="255"/>
        </w:trPr>
        <w:tc>
          <w:tcPr>
            <w:tcW w:w="960" w:type="dxa"/>
            <w:shd w:val="clear" w:color="000000" w:fill="BDD7EE"/>
            <w:noWrap/>
            <w:vAlign w:val="bottom"/>
            <w:hideMark/>
          </w:tcPr>
          <w:p w14:paraId="5A5311EF" w14:textId="77777777" w:rsidR="00670D75" w:rsidRPr="005B0F95" w:rsidRDefault="00670D75" w:rsidP="00471DFC">
            <w:pPr>
              <w:spacing w:before="0" w:after="0" w:line="240" w:lineRule="auto"/>
              <w:jc w:val="center"/>
              <w:rPr>
                <w:rFonts w:ascii="Calibri" w:hAnsi="Calibri"/>
                <w:color w:val="000000"/>
                <w:szCs w:val="20"/>
              </w:rPr>
            </w:pPr>
            <w:r w:rsidRPr="005B0F95">
              <w:rPr>
                <w:rFonts w:ascii="Calibri" w:hAnsi="Calibri"/>
                <w:color w:val="000000"/>
                <w:szCs w:val="20"/>
              </w:rPr>
              <w:t> </w:t>
            </w:r>
          </w:p>
        </w:tc>
        <w:tc>
          <w:tcPr>
            <w:tcW w:w="4300" w:type="dxa"/>
            <w:shd w:val="clear" w:color="000000" w:fill="BDD7EE"/>
            <w:noWrap/>
            <w:vAlign w:val="bottom"/>
            <w:hideMark/>
          </w:tcPr>
          <w:p w14:paraId="3FE3F290" w14:textId="77777777" w:rsidR="00670D75" w:rsidRPr="005B0F95" w:rsidRDefault="00670D75" w:rsidP="00471DFC">
            <w:pPr>
              <w:spacing w:before="0" w:after="0" w:line="240" w:lineRule="auto"/>
              <w:jc w:val="left"/>
              <w:rPr>
                <w:rFonts w:ascii="Calibri" w:hAnsi="Calibri"/>
                <w:color w:val="000000"/>
                <w:szCs w:val="20"/>
              </w:rPr>
            </w:pPr>
            <w:r w:rsidRPr="005B0F95">
              <w:rPr>
                <w:rFonts w:ascii="Calibri" w:hAnsi="Calibri"/>
                <w:color w:val="000000"/>
                <w:szCs w:val="20"/>
              </w:rPr>
              <w:t>Spolu</w:t>
            </w:r>
          </w:p>
        </w:tc>
        <w:tc>
          <w:tcPr>
            <w:tcW w:w="1977" w:type="dxa"/>
            <w:shd w:val="clear" w:color="000000" w:fill="BDD7EE"/>
            <w:noWrap/>
            <w:vAlign w:val="center"/>
            <w:hideMark/>
          </w:tcPr>
          <w:p w14:paraId="26DD5801" w14:textId="77777777" w:rsidR="00670D75" w:rsidRPr="005B0F95" w:rsidRDefault="00670D75" w:rsidP="00471DFC">
            <w:pPr>
              <w:spacing w:before="0" w:after="0" w:line="240" w:lineRule="auto"/>
              <w:jc w:val="right"/>
              <w:rPr>
                <w:rFonts w:ascii="Calibri" w:hAnsi="Calibri"/>
                <w:color w:val="000000"/>
                <w:szCs w:val="20"/>
              </w:rPr>
            </w:pPr>
            <w:r>
              <w:rPr>
                <w:rFonts w:ascii="Calibri" w:hAnsi="Calibri" w:cs="Calibri"/>
                <w:szCs w:val="20"/>
              </w:rPr>
              <w:t>5 968 558,00</w:t>
            </w:r>
          </w:p>
        </w:tc>
        <w:tc>
          <w:tcPr>
            <w:tcW w:w="1977" w:type="dxa"/>
            <w:shd w:val="clear" w:color="000000" w:fill="BDD7EE"/>
            <w:noWrap/>
            <w:vAlign w:val="center"/>
            <w:hideMark/>
          </w:tcPr>
          <w:p w14:paraId="1485E21A" w14:textId="77777777" w:rsidR="00670D75" w:rsidRPr="005B0F95" w:rsidRDefault="00670D75" w:rsidP="00471DFC">
            <w:pPr>
              <w:spacing w:before="0" w:after="0" w:line="240" w:lineRule="auto"/>
              <w:jc w:val="right"/>
              <w:rPr>
                <w:rFonts w:ascii="Calibri" w:hAnsi="Calibri"/>
                <w:color w:val="000000"/>
                <w:szCs w:val="20"/>
              </w:rPr>
            </w:pPr>
            <w:r>
              <w:rPr>
                <w:rFonts w:ascii="Calibri" w:hAnsi="Calibri" w:cs="Calibri"/>
                <w:szCs w:val="20"/>
              </w:rPr>
              <w:t>864 812,80</w:t>
            </w:r>
          </w:p>
        </w:tc>
      </w:tr>
    </w:tbl>
    <w:p w14:paraId="772D4602" w14:textId="0D1A80D3" w:rsidR="004015A1" w:rsidRDefault="004015A1" w:rsidP="004015A1">
      <w:pPr>
        <w:rPr>
          <w:i/>
          <w:sz w:val="16"/>
        </w:rPr>
      </w:pPr>
      <w:r w:rsidRPr="005B0F95">
        <w:rPr>
          <w:i/>
          <w:sz w:val="16"/>
        </w:rPr>
        <w:t xml:space="preserve">Zdroj: Návrh SkyToll </w:t>
      </w:r>
    </w:p>
    <w:p w14:paraId="2755FB25" w14:textId="77777777" w:rsidR="00670D75" w:rsidRDefault="00670D75" w:rsidP="004015A1">
      <w:pPr>
        <w:rPr>
          <w:i/>
          <w:sz w:val="16"/>
        </w:rPr>
      </w:pPr>
    </w:p>
    <w:p w14:paraId="152EF5DD" w14:textId="5F0AF29F" w:rsidR="003F6CDC" w:rsidRDefault="003F6CDC" w:rsidP="00670D75">
      <w:pPr>
        <w:pStyle w:val="Heading2"/>
      </w:pPr>
      <w:bookmarkStart w:id="83" w:name="_Ref74303374"/>
      <w:bookmarkStart w:id="84" w:name="_Toc87348726"/>
      <w:r>
        <w:t>časový harmonogram</w:t>
      </w:r>
      <w:bookmarkEnd w:id="83"/>
      <w:bookmarkEnd w:id="84"/>
    </w:p>
    <w:p w14:paraId="459ACA38" w14:textId="7C179680" w:rsidR="003F6CDC" w:rsidRDefault="003F6CDC" w:rsidP="00C81C52">
      <w:r>
        <w:t xml:space="preserve">Výsledkom viacerých intenzívnych rokovaní medzi NDS a spoločnosťou SkyToll v priebehu I. polroka 2021 bola úprava časového harmonogramu a významné skrátenie doby realizácie Zmeny CR-00190. Táto úprava harmonogramu bola podmienená spracovaním detailného návrhu biznis procesov </w:t>
      </w:r>
      <w:r w:rsidR="00397537">
        <w:t>EETS</w:t>
      </w:r>
      <w:r>
        <w:t>.</w:t>
      </w:r>
    </w:p>
    <w:p w14:paraId="0B3A8E55" w14:textId="77777777" w:rsidR="003F6CDC" w:rsidRDefault="003F6CDC" w:rsidP="003F6CDC">
      <w:r>
        <w:t>Celý projekt sa navrhuje realizovať počnúc 1.9.2021 a to iba za podmienky, že dôjde k odloženiu projektu Vybudovanie Elektronického mýtneho systému a poskytovanie Služieb technickej podpory, ktorý problematiku EETS rieši v komplexnom rozsahu.</w:t>
      </w:r>
    </w:p>
    <w:p w14:paraId="60730441" w14:textId="795C5EBF" w:rsidR="003F6CDC" w:rsidRDefault="003F6CDC" w:rsidP="003F6CDC">
      <w:pPr>
        <w:pStyle w:val="Caption"/>
      </w:pPr>
      <w:r>
        <w:t xml:space="preserve">Tab. </w:t>
      </w:r>
      <w:r>
        <w:fldChar w:fldCharType="begin"/>
      </w:r>
      <w:r>
        <w:instrText xml:space="preserve"> SEQ Tab. \* ARABIC </w:instrText>
      </w:r>
      <w:r>
        <w:fldChar w:fldCharType="separate"/>
      </w:r>
      <w:r w:rsidR="00A86720">
        <w:rPr>
          <w:noProof/>
        </w:rPr>
        <w:t>20</w:t>
      </w:r>
      <w:r>
        <w:fldChar w:fldCharType="end"/>
      </w:r>
      <w:r>
        <w:t xml:space="preserve"> – Aktualizovaný časový harmonogram projektu</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6914"/>
        <w:gridCol w:w="2260"/>
      </w:tblGrid>
      <w:tr w:rsidR="003F6CDC" w:rsidRPr="002A038F" w14:paraId="3A0BADB3" w14:textId="77777777" w:rsidTr="00A40297">
        <w:trPr>
          <w:trHeight w:val="509"/>
        </w:trPr>
        <w:tc>
          <w:tcPr>
            <w:tcW w:w="6914" w:type="dxa"/>
            <w:shd w:val="clear" w:color="auto" w:fill="BDD6EE" w:themeFill="accent1" w:themeFillTint="66"/>
            <w:vAlign w:val="center"/>
          </w:tcPr>
          <w:p w14:paraId="3777265A" w14:textId="77777777" w:rsidR="003F6CDC" w:rsidRPr="002A038F" w:rsidRDefault="003F6CDC" w:rsidP="003771D7">
            <w:pPr>
              <w:pStyle w:val="Q14Tablevisiblen"/>
              <w:ind w:left="59"/>
              <w:jc w:val="left"/>
              <w:rPr>
                <w:rFonts w:asciiTheme="minorHAnsi" w:hAnsiTheme="minorHAnsi"/>
                <w:sz w:val="20"/>
                <w:szCs w:val="18"/>
                <w:lang w:val="sk-SK"/>
              </w:rPr>
            </w:pPr>
            <w:r w:rsidRPr="002A038F">
              <w:rPr>
                <w:rFonts w:asciiTheme="minorHAnsi" w:hAnsiTheme="minorHAnsi"/>
                <w:sz w:val="20"/>
                <w:szCs w:val="18"/>
                <w:lang w:val="sk-SK"/>
              </w:rPr>
              <w:t>Úloha</w:t>
            </w:r>
          </w:p>
        </w:tc>
        <w:tc>
          <w:tcPr>
            <w:tcW w:w="2260" w:type="dxa"/>
            <w:shd w:val="clear" w:color="auto" w:fill="BDD6EE" w:themeFill="accent1" w:themeFillTint="66"/>
            <w:vAlign w:val="center"/>
          </w:tcPr>
          <w:p w14:paraId="71072462" w14:textId="77777777" w:rsidR="003F6CDC" w:rsidRPr="002A038F" w:rsidRDefault="003F6CDC" w:rsidP="003771D7">
            <w:pPr>
              <w:pStyle w:val="Q14Tablevisiblen"/>
              <w:jc w:val="left"/>
              <w:rPr>
                <w:rFonts w:asciiTheme="minorHAnsi" w:hAnsiTheme="minorHAnsi"/>
                <w:sz w:val="20"/>
                <w:szCs w:val="18"/>
                <w:lang w:val="sk-SK"/>
              </w:rPr>
            </w:pPr>
            <w:r w:rsidRPr="002A038F">
              <w:rPr>
                <w:rFonts w:asciiTheme="minorHAnsi" w:hAnsiTheme="minorHAnsi"/>
                <w:sz w:val="20"/>
                <w:szCs w:val="18"/>
                <w:lang w:val="sk-SK"/>
              </w:rPr>
              <w:t>Termín</w:t>
            </w:r>
          </w:p>
        </w:tc>
      </w:tr>
      <w:tr w:rsidR="003F6CDC" w:rsidRPr="002A038F" w14:paraId="673A92F5" w14:textId="77777777" w:rsidTr="00A40297">
        <w:trPr>
          <w:trHeight w:val="283"/>
        </w:trPr>
        <w:tc>
          <w:tcPr>
            <w:tcW w:w="6914" w:type="dxa"/>
            <w:shd w:val="clear" w:color="auto" w:fill="DEEAF6" w:themeFill="accent1" w:themeFillTint="33"/>
          </w:tcPr>
          <w:p w14:paraId="6D138DA8" w14:textId="77777777" w:rsidR="003F6CDC" w:rsidRPr="002A038F" w:rsidRDefault="003F6CDC" w:rsidP="003771D7">
            <w:pPr>
              <w:pStyle w:val="Q14Tablevisiblen"/>
              <w:ind w:left="59"/>
              <w:jc w:val="left"/>
              <w:rPr>
                <w:rFonts w:asciiTheme="minorHAnsi" w:hAnsiTheme="minorHAnsi"/>
                <w:sz w:val="20"/>
                <w:szCs w:val="18"/>
                <w:lang w:val="sk-SK" w:eastAsia="sk-SK"/>
              </w:rPr>
            </w:pPr>
            <w:r w:rsidRPr="002A038F">
              <w:rPr>
                <w:rFonts w:asciiTheme="minorHAnsi" w:hAnsiTheme="minorHAnsi"/>
                <w:sz w:val="20"/>
                <w:szCs w:val="18"/>
                <w:lang w:val="sk-SK" w:eastAsia="sk-SK"/>
              </w:rPr>
              <w:t>Začatie projektu</w:t>
            </w:r>
          </w:p>
        </w:tc>
        <w:tc>
          <w:tcPr>
            <w:tcW w:w="2260" w:type="dxa"/>
          </w:tcPr>
          <w:p w14:paraId="222E59DF" w14:textId="77777777" w:rsidR="003F6CDC" w:rsidRPr="002A038F" w:rsidRDefault="003F6CDC" w:rsidP="003771D7">
            <w:pPr>
              <w:pStyle w:val="Q14Tablevisiblen"/>
              <w:jc w:val="left"/>
              <w:rPr>
                <w:rFonts w:asciiTheme="minorHAnsi" w:hAnsiTheme="minorHAnsi"/>
                <w:sz w:val="20"/>
                <w:szCs w:val="18"/>
                <w:lang w:val="sk-SK" w:eastAsia="sk-SK"/>
              </w:rPr>
            </w:pPr>
            <w:r w:rsidRPr="002A038F">
              <w:rPr>
                <w:rFonts w:asciiTheme="minorHAnsi" w:hAnsiTheme="minorHAnsi"/>
                <w:sz w:val="20"/>
                <w:szCs w:val="18"/>
                <w:lang w:val="sk-SK"/>
              </w:rPr>
              <w:t>T0</w:t>
            </w:r>
          </w:p>
        </w:tc>
      </w:tr>
      <w:tr w:rsidR="003F6CDC" w:rsidRPr="002A038F" w14:paraId="79C5BA33" w14:textId="77777777" w:rsidTr="00A40297">
        <w:trPr>
          <w:trHeight w:val="283"/>
        </w:trPr>
        <w:tc>
          <w:tcPr>
            <w:tcW w:w="6914" w:type="dxa"/>
            <w:shd w:val="clear" w:color="auto" w:fill="DEEAF6" w:themeFill="accent1" w:themeFillTint="33"/>
          </w:tcPr>
          <w:p w14:paraId="4D249DC4" w14:textId="77777777" w:rsidR="003F6CDC" w:rsidRPr="002A038F" w:rsidRDefault="003F6CDC" w:rsidP="003771D7">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A</w:t>
            </w:r>
            <w:r w:rsidRPr="002A038F">
              <w:rPr>
                <w:rFonts w:asciiTheme="minorHAnsi" w:hAnsiTheme="minorHAnsi"/>
                <w:sz w:val="20"/>
                <w:szCs w:val="18"/>
                <w:lang w:val="sk-SK" w:eastAsia="sk-SK"/>
              </w:rPr>
              <w:t>nalýz</w:t>
            </w:r>
            <w:r>
              <w:rPr>
                <w:rFonts w:asciiTheme="minorHAnsi" w:hAnsiTheme="minorHAnsi"/>
                <w:sz w:val="20"/>
                <w:szCs w:val="18"/>
                <w:lang w:val="sk-SK" w:eastAsia="sk-SK"/>
              </w:rPr>
              <w:t>a</w:t>
            </w:r>
            <w:r w:rsidRPr="002A038F">
              <w:rPr>
                <w:rFonts w:asciiTheme="minorHAnsi" w:hAnsiTheme="minorHAnsi"/>
                <w:sz w:val="20"/>
                <w:szCs w:val="18"/>
                <w:lang w:val="sk-SK" w:eastAsia="sk-SK"/>
              </w:rPr>
              <w:t> </w:t>
            </w:r>
            <w:r>
              <w:rPr>
                <w:rFonts w:asciiTheme="minorHAnsi" w:hAnsiTheme="minorHAnsi"/>
                <w:sz w:val="20"/>
                <w:szCs w:val="18"/>
                <w:lang w:val="sk-SK" w:eastAsia="sk-SK"/>
              </w:rPr>
              <w:t xml:space="preserve">a </w:t>
            </w:r>
            <w:r w:rsidRPr="002A038F">
              <w:rPr>
                <w:rFonts w:asciiTheme="minorHAnsi" w:hAnsiTheme="minorHAnsi"/>
                <w:sz w:val="20"/>
                <w:szCs w:val="18"/>
                <w:lang w:val="sk-SK" w:eastAsia="sk-SK"/>
              </w:rPr>
              <w:t>návrh riešenia</w:t>
            </w:r>
          </w:p>
        </w:tc>
        <w:tc>
          <w:tcPr>
            <w:tcW w:w="2260" w:type="dxa"/>
          </w:tcPr>
          <w:p w14:paraId="10C53D1A" w14:textId="77777777" w:rsidR="003F6CDC" w:rsidRPr="002A038F" w:rsidRDefault="003F6CDC" w:rsidP="003771D7">
            <w:pPr>
              <w:pStyle w:val="Q14Tablevisiblen"/>
              <w:jc w:val="left"/>
              <w:rPr>
                <w:rFonts w:asciiTheme="minorHAnsi" w:hAnsiTheme="minorHAnsi"/>
                <w:sz w:val="20"/>
                <w:szCs w:val="18"/>
                <w:lang w:val="sk-SK"/>
              </w:rPr>
            </w:pPr>
            <w:r w:rsidRPr="002A038F">
              <w:rPr>
                <w:rFonts w:asciiTheme="minorHAnsi" w:hAnsiTheme="minorHAnsi"/>
                <w:sz w:val="20"/>
                <w:szCs w:val="18"/>
                <w:lang w:val="sk-SK"/>
              </w:rPr>
              <w:t xml:space="preserve">T1 = T0 + </w:t>
            </w:r>
            <w:r>
              <w:rPr>
                <w:rFonts w:asciiTheme="minorHAnsi" w:hAnsiTheme="minorHAnsi"/>
                <w:sz w:val="20"/>
                <w:szCs w:val="18"/>
                <w:lang w:val="sk-SK"/>
              </w:rPr>
              <w:t>2</w:t>
            </w:r>
            <w:r w:rsidRPr="002A038F">
              <w:rPr>
                <w:rFonts w:asciiTheme="minorHAnsi" w:hAnsiTheme="minorHAnsi"/>
                <w:sz w:val="20"/>
                <w:szCs w:val="18"/>
                <w:lang w:val="sk-SK"/>
              </w:rPr>
              <w:t xml:space="preserve"> </w:t>
            </w:r>
            <w:r>
              <w:rPr>
                <w:rFonts w:asciiTheme="minorHAnsi" w:hAnsiTheme="minorHAnsi"/>
                <w:sz w:val="20"/>
                <w:szCs w:val="18"/>
                <w:lang w:val="sk-SK"/>
              </w:rPr>
              <w:t>týždne</w:t>
            </w:r>
          </w:p>
        </w:tc>
      </w:tr>
      <w:tr w:rsidR="003F6CDC" w:rsidRPr="002A038F" w14:paraId="485D0032" w14:textId="77777777" w:rsidTr="00A40297">
        <w:trPr>
          <w:trHeight w:val="283"/>
        </w:trPr>
        <w:tc>
          <w:tcPr>
            <w:tcW w:w="6914" w:type="dxa"/>
            <w:shd w:val="clear" w:color="auto" w:fill="DEEAF6" w:themeFill="accent1" w:themeFillTint="33"/>
          </w:tcPr>
          <w:p w14:paraId="318539BA" w14:textId="77777777" w:rsidR="003F6CDC" w:rsidRPr="002A038F" w:rsidRDefault="003F6CDC" w:rsidP="003771D7">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Implementácia</w:t>
            </w:r>
            <w:r w:rsidRPr="002A038F">
              <w:rPr>
                <w:lang w:val="sk-SK"/>
              </w:rPr>
              <w:t xml:space="preserve"> </w:t>
            </w:r>
          </w:p>
        </w:tc>
        <w:tc>
          <w:tcPr>
            <w:tcW w:w="2260" w:type="dxa"/>
          </w:tcPr>
          <w:p w14:paraId="5F047081" w14:textId="77777777" w:rsidR="003F6CDC" w:rsidRPr="002A038F" w:rsidRDefault="003F6CDC" w:rsidP="003771D7">
            <w:pPr>
              <w:pStyle w:val="Q14Tablevisiblen"/>
              <w:jc w:val="left"/>
              <w:rPr>
                <w:rFonts w:asciiTheme="minorHAnsi" w:hAnsiTheme="minorHAnsi"/>
                <w:sz w:val="20"/>
                <w:szCs w:val="18"/>
                <w:lang w:val="sk-SK"/>
              </w:rPr>
            </w:pPr>
            <w:r w:rsidRPr="002A038F">
              <w:rPr>
                <w:rFonts w:asciiTheme="minorHAnsi" w:hAnsiTheme="minorHAnsi"/>
                <w:sz w:val="20"/>
                <w:szCs w:val="18"/>
                <w:lang w:val="sk-SK"/>
              </w:rPr>
              <w:t xml:space="preserve">T2 = T1 + </w:t>
            </w:r>
            <w:r>
              <w:rPr>
                <w:rFonts w:asciiTheme="minorHAnsi" w:hAnsiTheme="minorHAnsi"/>
                <w:sz w:val="20"/>
                <w:szCs w:val="18"/>
                <w:lang w:val="sk-SK"/>
              </w:rPr>
              <w:t>12</w:t>
            </w:r>
            <w:r w:rsidRPr="002A038F">
              <w:rPr>
                <w:rFonts w:asciiTheme="minorHAnsi" w:hAnsiTheme="minorHAnsi"/>
                <w:sz w:val="20"/>
                <w:szCs w:val="18"/>
                <w:lang w:val="sk-SK"/>
              </w:rPr>
              <w:t xml:space="preserve"> </w:t>
            </w:r>
            <w:r>
              <w:rPr>
                <w:rFonts w:asciiTheme="minorHAnsi" w:hAnsiTheme="minorHAnsi"/>
                <w:sz w:val="20"/>
                <w:szCs w:val="18"/>
                <w:lang w:val="sk-SK"/>
              </w:rPr>
              <w:t>týždňov</w:t>
            </w:r>
          </w:p>
        </w:tc>
      </w:tr>
      <w:tr w:rsidR="003F6CDC" w:rsidRPr="002A038F" w14:paraId="0E963FC1" w14:textId="77777777" w:rsidTr="00A40297">
        <w:trPr>
          <w:trHeight w:val="283"/>
        </w:trPr>
        <w:tc>
          <w:tcPr>
            <w:tcW w:w="6914" w:type="dxa"/>
            <w:shd w:val="clear" w:color="auto" w:fill="DEEAF6" w:themeFill="accent1" w:themeFillTint="33"/>
          </w:tcPr>
          <w:p w14:paraId="32DD5741" w14:textId="77777777" w:rsidR="003F6CDC" w:rsidRPr="002A038F" w:rsidRDefault="003F6CDC" w:rsidP="003771D7">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Testovanie</w:t>
            </w:r>
            <w:r w:rsidRPr="002A038F">
              <w:rPr>
                <w:rFonts w:asciiTheme="minorHAnsi" w:hAnsiTheme="minorHAnsi"/>
                <w:sz w:val="20"/>
                <w:szCs w:val="18"/>
                <w:vertAlign w:val="superscript"/>
                <w:lang w:val="sk-SK"/>
              </w:rPr>
              <w:t xml:space="preserve"> </w:t>
            </w:r>
          </w:p>
        </w:tc>
        <w:tc>
          <w:tcPr>
            <w:tcW w:w="2260" w:type="dxa"/>
          </w:tcPr>
          <w:p w14:paraId="70693153" w14:textId="77777777" w:rsidR="003F6CDC" w:rsidRPr="002A038F" w:rsidRDefault="003F6CDC" w:rsidP="003771D7">
            <w:pPr>
              <w:pStyle w:val="Q14Tablevisiblen"/>
              <w:jc w:val="left"/>
              <w:rPr>
                <w:rFonts w:asciiTheme="minorHAnsi" w:hAnsiTheme="minorHAnsi"/>
                <w:sz w:val="20"/>
                <w:szCs w:val="18"/>
                <w:lang w:val="sk-SK"/>
              </w:rPr>
            </w:pPr>
            <w:r w:rsidRPr="002A038F">
              <w:rPr>
                <w:rFonts w:asciiTheme="minorHAnsi" w:hAnsiTheme="minorHAnsi"/>
                <w:sz w:val="20"/>
                <w:szCs w:val="18"/>
                <w:lang w:val="sk-SK"/>
              </w:rPr>
              <w:t>T3 = T</w:t>
            </w:r>
            <w:r>
              <w:rPr>
                <w:rFonts w:asciiTheme="minorHAnsi" w:hAnsiTheme="minorHAnsi"/>
                <w:sz w:val="20"/>
                <w:szCs w:val="18"/>
                <w:lang w:val="sk-SK"/>
              </w:rPr>
              <w:t>2</w:t>
            </w:r>
            <w:r w:rsidRPr="002A038F">
              <w:rPr>
                <w:rFonts w:asciiTheme="minorHAnsi" w:hAnsiTheme="minorHAnsi"/>
                <w:sz w:val="20"/>
                <w:szCs w:val="18"/>
                <w:lang w:val="sk-SK"/>
              </w:rPr>
              <w:t xml:space="preserve"> + </w:t>
            </w:r>
            <w:r>
              <w:rPr>
                <w:rFonts w:asciiTheme="minorHAnsi" w:hAnsiTheme="minorHAnsi"/>
                <w:sz w:val="20"/>
                <w:szCs w:val="18"/>
                <w:lang w:val="sk-SK"/>
              </w:rPr>
              <w:t>2</w:t>
            </w:r>
            <w:r w:rsidRPr="002A038F">
              <w:rPr>
                <w:rFonts w:asciiTheme="minorHAnsi" w:hAnsiTheme="minorHAnsi"/>
                <w:sz w:val="20"/>
                <w:szCs w:val="18"/>
                <w:lang w:val="sk-SK"/>
              </w:rPr>
              <w:t xml:space="preserve"> </w:t>
            </w:r>
            <w:r>
              <w:rPr>
                <w:rFonts w:asciiTheme="minorHAnsi" w:hAnsiTheme="minorHAnsi"/>
                <w:sz w:val="20"/>
                <w:szCs w:val="18"/>
                <w:lang w:val="sk-SK"/>
              </w:rPr>
              <w:t>týždne</w:t>
            </w:r>
          </w:p>
        </w:tc>
      </w:tr>
      <w:tr w:rsidR="003F6CDC" w:rsidRPr="002A038F" w14:paraId="2CDCF6C2" w14:textId="77777777" w:rsidTr="00A40297">
        <w:trPr>
          <w:trHeight w:val="283"/>
        </w:trPr>
        <w:tc>
          <w:tcPr>
            <w:tcW w:w="6914" w:type="dxa"/>
            <w:shd w:val="clear" w:color="auto" w:fill="DEEAF6" w:themeFill="accent1" w:themeFillTint="33"/>
          </w:tcPr>
          <w:p w14:paraId="351899AB" w14:textId="77777777" w:rsidR="003F6CDC" w:rsidRPr="002A038F" w:rsidRDefault="003F6CDC" w:rsidP="003771D7">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Akceptácia a nasadenie</w:t>
            </w:r>
          </w:p>
        </w:tc>
        <w:tc>
          <w:tcPr>
            <w:tcW w:w="2260" w:type="dxa"/>
          </w:tcPr>
          <w:p w14:paraId="0BCC04B3" w14:textId="77777777" w:rsidR="003F6CDC" w:rsidRPr="002A038F" w:rsidRDefault="003F6CDC" w:rsidP="003771D7">
            <w:pPr>
              <w:pStyle w:val="Q14Tablevisiblen"/>
              <w:jc w:val="left"/>
              <w:rPr>
                <w:rFonts w:asciiTheme="minorHAnsi" w:hAnsiTheme="minorHAnsi"/>
                <w:sz w:val="20"/>
                <w:szCs w:val="18"/>
                <w:lang w:val="sk-SK"/>
              </w:rPr>
            </w:pPr>
            <w:r>
              <w:rPr>
                <w:rFonts w:asciiTheme="minorHAnsi" w:hAnsiTheme="minorHAnsi"/>
                <w:sz w:val="20"/>
                <w:szCs w:val="18"/>
                <w:lang w:val="sk-SK"/>
              </w:rPr>
              <w:t>T4 = T3 + 1 týždeň</w:t>
            </w:r>
          </w:p>
        </w:tc>
      </w:tr>
      <w:tr w:rsidR="003F6CDC" w:rsidRPr="002A038F" w14:paraId="399E3DFB" w14:textId="77777777" w:rsidTr="00A40297">
        <w:trPr>
          <w:trHeight w:val="283"/>
        </w:trPr>
        <w:tc>
          <w:tcPr>
            <w:tcW w:w="6914" w:type="dxa"/>
            <w:shd w:val="clear" w:color="auto" w:fill="DEEAF6" w:themeFill="accent1" w:themeFillTint="33"/>
          </w:tcPr>
          <w:p w14:paraId="33F33F01" w14:textId="77777777" w:rsidR="003F6CDC" w:rsidRPr="002A038F" w:rsidRDefault="003F6CDC" w:rsidP="003771D7">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Začatie prevádzky</w:t>
            </w:r>
          </w:p>
        </w:tc>
        <w:tc>
          <w:tcPr>
            <w:tcW w:w="2260" w:type="dxa"/>
          </w:tcPr>
          <w:p w14:paraId="15C4CAA1" w14:textId="77777777" w:rsidR="003F6CDC" w:rsidRPr="002A038F" w:rsidRDefault="003F6CDC" w:rsidP="003771D7">
            <w:pPr>
              <w:pStyle w:val="Q14Tablevisiblen"/>
              <w:jc w:val="left"/>
              <w:rPr>
                <w:rFonts w:asciiTheme="minorHAnsi" w:hAnsiTheme="minorHAnsi"/>
                <w:sz w:val="20"/>
                <w:szCs w:val="18"/>
                <w:lang w:val="sk-SK"/>
              </w:rPr>
            </w:pPr>
            <w:r>
              <w:rPr>
                <w:rFonts w:asciiTheme="minorHAnsi" w:hAnsiTheme="minorHAnsi"/>
                <w:sz w:val="20"/>
                <w:szCs w:val="18"/>
                <w:lang w:val="sk-SK"/>
              </w:rPr>
              <w:t>M1 = T4 + 1 deň</w:t>
            </w:r>
          </w:p>
        </w:tc>
      </w:tr>
      <w:tr w:rsidR="003F6CDC" w:rsidRPr="002A038F" w14:paraId="7FE7C71E" w14:textId="77777777" w:rsidTr="00A40297">
        <w:trPr>
          <w:trHeight w:val="283"/>
        </w:trPr>
        <w:tc>
          <w:tcPr>
            <w:tcW w:w="6914" w:type="dxa"/>
            <w:shd w:val="clear" w:color="auto" w:fill="DEEAF6" w:themeFill="accent1" w:themeFillTint="33"/>
          </w:tcPr>
          <w:p w14:paraId="06BCA891" w14:textId="2CEFF564" w:rsidR="003F6CDC" w:rsidRPr="002A038F" w:rsidRDefault="003F6CDC" w:rsidP="00C81C52">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Platobný míľnik M1 (úhrada ceny za realizáciu Zmeny CR-00190)</w:t>
            </w:r>
          </w:p>
        </w:tc>
        <w:tc>
          <w:tcPr>
            <w:tcW w:w="2260" w:type="dxa"/>
          </w:tcPr>
          <w:p w14:paraId="0E9B891D" w14:textId="77777777" w:rsidR="003F6CDC" w:rsidRPr="002A038F" w:rsidRDefault="003F6CDC" w:rsidP="003771D7">
            <w:pPr>
              <w:pStyle w:val="Q14Tablevisiblen"/>
              <w:tabs>
                <w:tab w:val="left" w:pos="1350"/>
              </w:tabs>
              <w:jc w:val="left"/>
              <w:rPr>
                <w:rFonts w:asciiTheme="minorHAnsi" w:hAnsiTheme="minorHAnsi"/>
                <w:sz w:val="20"/>
                <w:szCs w:val="18"/>
                <w:lang w:val="sk-SK"/>
              </w:rPr>
            </w:pPr>
            <w:r>
              <w:rPr>
                <w:rFonts w:asciiTheme="minorHAnsi" w:hAnsiTheme="minorHAnsi"/>
                <w:sz w:val="20"/>
                <w:szCs w:val="18"/>
                <w:lang w:val="sk-SK"/>
              </w:rPr>
              <w:t>M1</w:t>
            </w:r>
          </w:p>
        </w:tc>
      </w:tr>
      <w:tr w:rsidR="003F6CDC" w:rsidRPr="002A038F" w14:paraId="27240DB6" w14:textId="77777777" w:rsidTr="00A40297">
        <w:trPr>
          <w:trHeight w:val="283"/>
        </w:trPr>
        <w:tc>
          <w:tcPr>
            <w:tcW w:w="6914" w:type="dxa"/>
            <w:shd w:val="clear" w:color="auto" w:fill="DEEAF6" w:themeFill="accent1" w:themeFillTint="33"/>
          </w:tcPr>
          <w:p w14:paraId="79CEC2D4" w14:textId="77777777" w:rsidR="003F6CDC" w:rsidRPr="002A038F" w:rsidRDefault="003F6CDC" w:rsidP="003771D7">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Odstránenie vád a nedorobkov</w:t>
            </w:r>
          </w:p>
        </w:tc>
        <w:tc>
          <w:tcPr>
            <w:tcW w:w="2260" w:type="dxa"/>
          </w:tcPr>
          <w:p w14:paraId="0C1545D1" w14:textId="77777777" w:rsidR="003F6CDC" w:rsidRPr="002A038F" w:rsidRDefault="003F6CDC" w:rsidP="003771D7">
            <w:pPr>
              <w:pStyle w:val="Q14Tablevisiblen"/>
              <w:tabs>
                <w:tab w:val="left" w:pos="1350"/>
              </w:tabs>
              <w:jc w:val="left"/>
              <w:rPr>
                <w:rFonts w:asciiTheme="minorHAnsi" w:hAnsiTheme="minorHAnsi"/>
                <w:sz w:val="20"/>
                <w:szCs w:val="18"/>
                <w:lang w:val="sk-SK"/>
              </w:rPr>
            </w:pPr>
            <w:r>
              <w:rPr>
                <w:rFonts w:asciiTheme="minorHAnsi" w:hAnsiTheme="minorHAnsi"/>
                <w:sz w:val="20"/>
                <w:szCs w:val="18"/>
                <w:lang w:val="sk-SK"/>
              </w:rPr>
              <w:t>M2 = M1 + 6 mesiacov</w:t>
            </w:r>
          </w:p>
        </w:tc>
      </w:tr>
    </w:tbl>
    <w:p w14:paraId="414C72FC" w14:textId="3B82D835" w:rsidR="003F6CDC" w:rsidRPr="00DA4343" w:rsidRDefault="003F6CDC" w:rsidP="003F6CDC">
      <w:pPr>
        <w:rPr>
          <w:i/>
          <w:sz w:val="16"/>
        </w:rPr>
      </w:pPr>
      <w:r w:rsidRPr="00DA4343">
        <w:rPr>
          <w:i/>
          <w:sz w:val="16"/>
        </w:rPr>
        <w:t xml:space="preserve">Zdroj: návrh SkyToll </w:t>
      </w:r>
    </w:p>
    <w:p w14:paraId="006EECF6" w14:textId="77777777" w:rsidR="0006746B" w:rsidRDefault="0006746B" w:rsidP="00D90DFE">
      <w:pPr>
        <w:rPr>
          <w:i/>
          <w:sz w:val="16"/>
        </w:rPr>
      </w:pPr>
    </w:p>
    <w:p w14:paraId="26FE8ADA" w14:textId="2E9E797E" w:rsidR="0006746B" w:rsidRDefault="0006746B">
      <w:pPr>
        <w:spacing w:before="0" w:after="0" w:line="240" w:lineRule="auto"/>
        <w:jc w:val="left"/>
        <w:rPr>
          <w:i/>
          <w:sz w:val="16"/>
        </w:rPr>
      </w:pPr>
    </w:p>
    <w:p w14:paraId="3F0008A6" w14:textId="13ADF8AE" w:rsidR="00E3086F" w:rsidRDefault="00E3086F" w:rsidP="00E3086F">
      <w:pPr>
        <w:pStyle w:val="Heading1"/>
      </w:pPr>
      <w:bookmarkStart w:id="85" w:name="_Toc74323954"/>
      <w:bookmarkStart w:id="86" w:name="_Toc74324083"/>
      <w:bookmarkStart w:id="87" w:name="_Toc74324195"/>
      <w:bookmarkStart w:id="88" w:name="_Toc74324307"/>
      <w:bookmarkStart w:id="89" w:name="_Toc74324418"/>
      <w:bookmarkStart w:id="90" w:name="_Toc74324528"/>
      <w:bookmarkStart w:id="91" w:name="_Toc74324637"/>
      <w:bookmarkStart w:id="92" w:name="_Toc74324745"/>
      <w:bookmarkStart w:id="93" w:name="_Toc74323955"/>
      <w:bookmarkStart w:id="94" w:name="_Toc74324084"/>
      <w:bookmarkStart w:id="95" w:name="_Toc74324196"/>
      <w:bookmarkStart w:id="96" w:name="_Toc74324308"/>
      <w:bookmarkStart w:id="97" w:name="_Toc74324419"/>
      <w:bookmarkStart w:id="98" w:name="_Toc74324529"/>
      <w:bookmarkStart w:id="99" w:name="_Toc74324638"/>
      <w:bookmarkStart w:id="100" w:name="_Toc74324746"/>
      <w:bookmarkStart w:id="101" w:name="_Toc8734872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Popis budúceho stavu</w:t>
      </w:r>
      <w:bookmarkEnd w:id="101"/>
    </w:p>
    <w:p w14:paraId="7F589075" w14:textId="44815D2B" w:rsidR="00E3086F" w:rsidRDefault="00E3086F" w:rsidP="00E3086F">
      <w:pPr>
        <w:pStyle w:val="Heading2"/>
      </w:pPr>
      <w:bookmarkStart w:id="102" w:name="_Toc87348728"/>
      <w:r>
        <w:t>Legislatíva</w:t>
      </w:r>
      <w:bookmarkEnd w:id="102"/>
    </w:p>
    <w:p w14:paraId="029358E9" w14:textId="5CAD73F8" w:rsidR="00781E44" w:rsidRDefault="00781E44" w:rsidP="00781E44">
      <w:pPr>
        <w:pStyle w:val="Heading3"/>
      </w:pPr>
      <w:bookmarkStart w:id="103" w:name="_Toc87348729"/>
      <w:r>
        <w:t>Zákon o výbere mýta</w:t>
      </w:r>
      <w:bookmarkEnd w:id="103"/>
    </w:p>
    <w:p w14:paraId="63B0CE38" w14:textId="054033E9" w:rsidR="00781E44" w:rsidRDefault="004659E1" w:rsidP="00781E44">
      <w:r>
        <w:t xml:space="preserve">Poskytovanie EETS upravuje ZVM a vykonávacie nariadenia Európskej Komisie. </w:t>
      </w:r>
      <w:r w:rsidR="00781E44">
        <w:t>Transpozícia Smernice do ZVM je predmetom osobitného projektu mimo rámec tejto štúdie.</w:t>
      </w:r>
      <w:r>
        <w:t xml:space="preserve"> Predpokladá sa, že v rámci transpozície Smernice do ZVM budú náhradou za zrušené Rozhodnutie </w:t>
      </w:r>
      <w:r w:rsidR="0061290A" w:rsidRPr="00C4355E">
        <w:rPr>
          <w:szCs w:val="20"/>
        </w:rPr>
        <w:t xml:space="preserve">2009/750/ES </w:t>
      </w:r>
      <w:r>
        <w:t>aktualizované odkazy na relevantné nariadenia Komisie:</w:t>
      </w:r>
    </w:p>
    <w:p w14:paraId="38E7C77D" w14:textId="06B9DDC9" w:rsidR="004659E1" w:rsidRDefault="004659E1" w:rsidP="00480B97">
      <w:pPr>
        <w:pStyle w:val="ListParagraph"/>
        <w:numPr>
          <w:ilvl w:val="0"/>
          <w:numId w:val="27"/>
        </w:numPr>
      </w:pPr>
      <w:r w:rsidRPr="004659E1">
        <w:t>DELEGOVANÉ NARIADENIE KOMISIE (EÚ) 2020/203 z 28. novembra 2019 o klasifikácii vozidiel, povinnostiach používateľov Európskej služby elektronického výberu mýta, požiadavkách na zložky interoperability a minimálnych kritériách oprávnenosti pre notifikované orgány</w:t>
      </w:r>
      <w:r>
        <w:t>,</w:t>
      </w:r>
    </w:p>
    <w:p w14:paraId="30A646C0" w14:textId="37300BC6" w:rsidR="004659E1" w:rsidRDefault="004659E1" w:rsidP="00480B97">
      <w:pPr>
        <w:pStyle w:val="ListParagraph"/>
        <w:numPr>
          <w:ilvl w:val="0"/>
          <w:numId w:val="27"/>
        </w:numPr>
      </w:pPr>
      <w:r w:rsidRPr="004659E1">
        <w:t>VYKONÁVACIE NARIADENIE KOMISIE (EÚ) 2020/204 z 28. novembra 2019 o podrobných povinnostiach poskytovateľov Európskej služby elektronického výberu mýta, minimálnom obsahu prehľadu o oblasti Európskej služby elektronického výberu mýta, elektronických rozhraniach, požiadavkách na zložky interoperability a o zrušení rozhodnutia 2009/750/ES</w:t>
      </w:r>
      <w:r>
        <w:t>.</w:t>
      </w:r>
    </w:p>
    <w:p w14:paraId="6CFF0423" w14:textId="3C93EB3F" w:rsidR="00781E44" w:rsidRPr="00AB73AE" w:rsidRDefault="003051B8" w:rsidP="00AB73AE">
      <w:r>
        <w:t xml:space="preserve"> </w:t>
      </w:r>
    </w:p>
    <w:p w14:paraId="03AAD5A3" w14:textId="2EF8B814" w:rsidR="00E3086F" w:rsidRDefault="00E3086F" w:rsidP="00E3086F">
      <w:pPr>
        <w:pStyle w:val="Heading2"/>
      </w:pPr>
      <w:bookmarkStart w:id="104" w:name="_Toc87348730"/>
      <w:r>
        <w:t>Architektúra</w:t>
      </w:r>
      <w:bookmarkEnd w:id="104"/>
    </w:p>
    <w:p w14:paraId="0DA4F364" w14:textId="5A3323D5" w:rsidR="008541A7" w:rsidRDefault="008541A7" w:rsidP="00FD1C8A">
      <w:pPr>
        <w:pStyle w:val="Heading3"/>
      </w:pPr>
      <w:bookmarkStart w:id="105" w:name="_Toc87348731"/>
      <w:r>
        <w:t>Koncept</w:t>
      </w:r>
      <w:bookmarkEnd w:id="105"/>
    </w:p>
    <w:p w14:paraId="0F1E78AF" w14:textId="6AA631D6" w:rsidR="008541A7" w:rsidRDefault="008541A7" w:rsidP="008541A7">
      <w:r>
        <w:t xml:space="preserve">V podmienkach výberu mýta v Slovenskej republike sa navrhuje realizovať EETS s dominantným postavením </w:t>
      </w:r>
      <w:r w:rsidR="00B324B6">
        <w:t>Správc</w:t>
      </w:r>
      <w:r>
        <w:t xml:space="preserve">u výberu mýta, kedy </w:t>
      </w:r>
      <w:r w:rsidR="00B324B6">
        <w:t>Správc</w:t>
      </w:r>
      <w:r>
        <w:t xml:space="preserve">a výberu mýta sám vypočíta a vyrubí mýto na základe údajov o požívaní vymedzených úsekov ciest, zaznamenaných interoperabilnými palubnými jednotkami a odovzdaných poskytovateľmi EETS </w:t>
      </w:r>
      <w:r w:rsidR="00B324B6">
        <w:t>Správc</w:t>
      </w:r>
      <w:r>
        <w:t>ovi výberu mýta.</w:t>
      </w:r>
    </w:p>
    <w:p w14:paraId="2641DDD8" w14:textId="2655B765" w:rsidR="008344E9" w:rsidRDefault="00796B72" w:rsidP="008541A7">
      <w:r>
        <w:t>Navrhovaný koncept využíva interoperabilné palubné jednotky s architektúrou tenkého klienta,</w:t>
      </w:r>
      <w:r w:rsidR="008344E9">
        <w:t xml:space="preserve"> pričom zaznamenávanie údajov pre výber mýta sa uskutočňuje na základe satelitného určovania polohy vozidla.</w:t>
      </w:r>
      <w:r>
        <w:t xml:space="preserve"> </w:t>
      </w:r>
      <w:r w:rsidR="008344E9">
        <w:t xml:space="preserve">V koncepte tenkého klienta </w:t>
      </w:r>
      <w:r>
        <w:t xml:space="preserve">odpadá manažment </w:t>
      </w:r>
      <w:r w:rsidR="008344E9">
        <w:t xml:space="preserve">geo-modelu vymedzených úsekov ciest v státisícoch kusov palubných jednotiek. Týmto opatrením sa zvyšuje spoľahlivosť a presnosť celého systému, ako aj odolnosť voči podvodnému správaniu. Dáta o polohe vozidla palubná jednotka odovzdáva cez telekomunikačnú sieť a centrálu zberu dát (zabezpečované poskytovateľmi EETS) do elektronického mýtneho systému </w:t>
      </w:r>
      <w:r w:rsidR="00B324B6">
        <w:t>Správc</w:t>
      </w:r>
      <w:r w:rsidR="008344E9">
        <w:t xml:space="preserve">u výberu mýta. Správca výberu mýta spracúva dáta o polohe vozidla, odovzdané poskytovateľmi EETS, na ich základe vyhodnocuje použitie vymedzených úsekov ciest a podľa kategórie vozidla vyrubí mýto. Dôležitým prvkom riešenia je modul/subsystém mapového priradenia a mediácie, ktorý vyhodnocuje okamžitú polohou vozidla voči digitálnej mape a geo-modelu vymedzených úsekov ciest. Tento modul je centrálny, digitálna mapa a geo-model sú spravované na jednom mieste a pod kontrolou </w:t>
      </w:r>
      <w:r w:rsidR="00B324B6">
        <w:t>Správc</w:t>
      </w:r>
      <w:r w:rsidR="008344E9">
        <w:t xml:space="preserve">u výberu mýta. </w:t>
      </w:r>
    </w:p>
    <w:p w14:paraId="0B301AB3" w14:textId="11439B73" w:rsidR="00796B72" w:rsidRDefault="008344E9" w:rsidP="008541A7">
      <w:r>
        <w:t>Správca výberu mýta na základe vyhodnotenia polohových dát spracuje mýtne transakcie, a poskytovateľom EETS vyrubí súhrnné mýto za všetky vozidla prevádzkovateľov, ktorí s poskytovateľom EETS majú uzatvorenú príslušnú zmluvu. Správca výberu mýta za tým účelom vedie evidenciu vozidiel EETS a interoperabilných palubných jednotiek.</w:t>
      </w:r>
      <w:r w:rsidR="00796B72">
        <w:t xml:space="preserve"> </w:t>
      </w:r>
    </w:p>
    <w:p w14:paraId="468798DF" w14:textId="77777777" w:rsidR="00796B72" w:rsidRDefault="00796B72" w:rsidP="00796B72">
      <w:pPr>
        <w:keepNext/>
      </w:pPr>
      <w:r>
        <w:rPr>
          <w:noProof/>
          <w:lang w:val="cs-CZ"/>
        </w:rPr>
        <w:lastRenderedPageBreak/>
        <w:drawing>
          <wp:inline distT="0" distB="0" distL="0" distR="0" wp14:anchorId="3DF070F1" wp14:editId="77753290">
            <wp:extent cx="3800103" cy="432825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oncept.emf"/>
                    <pic:cNvPicPr/>
                  </pic:nvPicPr>
                  <pic:blipFill>
                    <a:blip r:embed="rId12">
                      <a:extLst>
                        <a:ext uri="{28A0092B-C50C-407E-A947-70E740481C1C}">
                          <a14:useLocalDpi xmlns:a14="http://schemas.microsoft.com/office/drawing/2010/main" val="0"/>
                        </a:ext>
                      </a:extLst>
                    </a:blip>
                    <a:stretch>
                      <a:fillRect/>
                    </a:stretch>
                  </pic:blipFill>
                  <pic:spPr>
                    <a:xfrm>
                      <a:off x="0" y="0"/>
                      <a:ext cx="3813689" cy="4343728"/>
                    </a:xfrm>
                    <a:prstGeom prst="rect">
                      <a:avLst/>
                    </a:prstGeom>
                  </pic:spPr>
                </pic:pic>
              </a:graphicData>
            </a:graphic>
          </wp:inline>
        </w:drawing>
      </w:r>
    </w:p>
    <w:p w14:paraId="55C3EDE1" w14:textId="6E2AA51A" w:rsidR="008541A7" w:rsidRDefault="00796B72" w:rsidP="00FA6605">
      <w:pPr>
        <w:pStyle w:val="Caption"/>
      </w:pPr>
      <w:r>
        <w:t xml:space="preserve">Obr. </w:t>
      </w:r>
      <w:r>
        <w:fldChar w:fldCharType="begin"/>
      </w:r>
      <w:r>
        <w:instrText xml:space="preserve"> SEQ Obr. \* ARABIC </w:instrText>
      </w:r>
      <w:r>
        <w:fldChar w:fldCharType="separate"/>
      </w:r>
      <w:r w:rsidR="00A86720">
        <w:rPr>
          <w:noProof/>
        </w:rPr>
        <w:t>4</w:t>
      </w:r>
      <w:r>
        <w:fldChar w:fldCharType="end"/>
      </w:r>
      <w:r>
        <w:t xml:space="preserve"> - Koncept poskytovania EETS v Slovenskej republike</w:t>
      </w:r>
    </w:p>
    <w:p w14:paraId="2BEEEC52" w14:textId="77777777" w:rsidR="006779A3" w:rsidRDefault="006779A3" w:rsidP="008344E9"/>
    <w:p w14:paraId="4D7BAA8E" w14:textId="00D74ABC" w:rsidR="008344E9" w:rsidRDefault="008344E9" w:rsidP="008344E9">
      <w:r>
        <w:t>Správca výberu mýta zabezpečuje kontrolu dodržiavania povinností vodiča a prevádzkovateľa vozidla podľa ZVM, k tomu využíva priamu komunikáciu DSRC medzi interoperabilnou palubnou jednotkou a infraštruktúrou kontrolného systému podľa štandardu kontrolnej komunikácie</w:t>
      </w:r>
      <w:r w:rsidR="00943E45">
        <w:t>,</w:t>
      </w:r>
      <w:r>
        <w:t xml:space="preserve"> tzv. CCC</w:t>
      </w:r>
      <w:r w:rsidR="00C35CE5">
        <w:t xml:space="preserve"> </w:t>
      </w:r>
      <w:r>
        <w:t xml:space="preserve">transakcie. Zistené nezhody </w:t>
      </w:r>
      <w:r w:rsidR="00B324B6">
        <w:t>Správc</w:t>
      </w:r>
      <w:r>
        <w:t>a výberu mýta rieši priamo s dotknutým poskytovateľom EETS, ktorý zaevidoval vozidlo u </w:t>
      </w:r>
      <w:r w:rsidR="00B324B6">
        <w:t>Správc</w:t>
      </w:r>
      <w:r>
        <w:t xml:space="preserve">u výberu mýta.  </w:t>
      </w:r>
    </w:p>
    <w:p w14:paraId="718C3CB7" w14:textId="2F96BA62" w:rsidR="00CC025F" w:rsidRDefault="00CC025F" w:rsidP="008344E9">
      <w:r>
        <w:t>Podrobnosti navrhovaného technického riešenia viď návrh uskutočnenia zmen</w:t>
      </w:r>
      <w:r w:rsidRPr="00397537">
        <w:t xml:space="preserve">y </w:t>
      </w:r>
      <w:r w:rsidR="006D194A">
        <w:t>CR-00190 SkyToll</w:t>
      </w:r>
      <w:r w:rsidRPr="00397537">
        <w:t>.</w:t>
      </w:r>
    </w:p>
    <w:p w14:paraId="44790C74" w14:textId="1D0B9657" w:rsidR="00A86720" w:rsidRDefault="00A86720">
      <w:pPr>
        <w:spacing w:before="0" w:after="0" w:line="240" w:lineRule="auto"/>
        <w:jc w:val="left"/>
      </w:pPr>
    </w:p>
    <w:p w14:paraId="6FE4FBAC" w14:textId="5B74966F" w:rsidR="0006746B" w:rsidRPr="00397537" w:rsidRDefault="0006746B" w:rsidP="00A40297">
      <w:pPr>
        <w:pStyle w:val="Heading3"/>
      </w:pPr>
      <w:bookmarkStart w:id="106" w:name="_Toc87348732"/>
      <w:r w:rsidRPr="00397537">
        <w:t>Architektúra</w:t>
      </w:r>
      <w:bookmarkEnd w:id="106"/>
    </w:p>
    <w:p w14:paraId="22BBF538" w14:textId="3BF2407B" w:rsidR="0006746B" w:rsidRDefault="0006746B" w:rsidP="00A40297">
      <w:r>
        <w:t>Na obrázku nižšie je uvedená navrhovaná aplikačná architektúra</w:t>
      </w:r>
      <w:r w:rsidR="00980BC7">
        <w:t>. Návrh vychádza z jestvujúceho elektronického mýtneho systému, elementy dotknuté zmenou sú podfarbené červeným. Celé riešenie je rozšírené o nový subsystém „Rozhranie EETS“, ktorý zahŕňa aplikačné komponenty:</w:t>
      </w:r>
    </w:p>
    <w:p w14:paraId="57A093FC" w14:textId="5C7EF48E" w:rsidR="00980BC7" w:rsidRDefault="00980BC7" w:rsidP="00480B97">
      <w:pPr>
        <w:pStyle w:val="ListParagraph"/>
        <w:numPr>
          <w:ilvl w:val="0"/>
          <w:numId w:val="39"/>
        </w:numPr>
      </w:pPr>
      <w:r w:rsidRPr="00A40297">
        <w:rPr>
          <w:b/>
        </w:rPr>
        <w:t>komunikačn</w:t>
      </w:r>
      <w:r w:rsidR="008308A6">
        <w:rPr>
          <w:b/>
        </w:rPr>
        <w:t>á</w:t>
      </w:r>
      <w:r w:rsidRPr="00A40297">
        <w:rPr>
          <w:b/>
        </w:rPr>
        <w:t xml:space="preserve"> </w:t>
      </w:r>
      <w:r w:rsidR="008308A6">
        <w:rPr>
          <w:b/>
        </w:rPr>
        <w:t>brána</w:t>
      </w:r>
      <w:r w:rsidRPr="00A40297">
        <w:rPr>
          <w:b/>
        </w:rPr>
        <w:t xml:space="preserve"> 12855</w:t>
      </w:r>
      <w:r>
        <w:t xml:space="preserve"> – otvorené komunikačné rozhranie pre výmenu dát s poskytovateľmi mýtnych služieb podľa medzinárodných a slovenských štandardov interoperability STN ISO 12855,</w:t>
      </w:r>
    </w:p>
    <w:p w14:paraId="083D604D" w14:textId="064B95AB" w:rsidR="00980BC7" w:rsidRDefault="008308A6" w:rsidP="00480B97">
      <w:pPr>
        <w:pStyle w:val="ListParagraph"/>
        <w:numPr>
          <w:ilvl w:val="0"/>
          <w:numId w:val="39"/>
        </w:numPr>
      </w:pPr>
      <w:r>
        <w:rPr>
          <w:b/>
        </w:rPr>
        <w:t>Billien (3)</w:t>
      </w:r>
      <w:r w:rsidR="00980BC7">
        <w:t xml:space="preserve"> – aplikačný modul zabezpečujúci </w:t>
      </w:r>
      <w:r>
        <w:t>spracovanie</w:t>
      </w:r>
      <w:r w:rsidR="00980BC7">
        <w:t xml:space="preserve"> priestorových súradníc </w:t>
      </w:r>
      <w:r>
        <w:t>odovzdávaných interoperabilným palubným zariadením do formy ocenených mýtnych transakcií</w:t>
      </w:r>
      <w:r w:rsidR="00980BC7">
        <w:t>,</w:t>
      </w:r>
      <w:r>
        <w:t xml:space="preserve"> </w:t>
      </w:r>
      <w:r w:rsidR="00980BC7">
        <w:t>zber a spracovanie registračných údajov vozidiel</w:t>
      </w:r>
      <w:r>
        <w:t xml:space="preserve"> EETS</w:t>
      </w:r>
      <w:r w:rsidR="00980BC7">
        <w:t xml:space="preserve">, </w:t>
      </w:r>
      <w:r>
        <w:t>vyúčtovanie mýta a manažment Poskytovateľov EETS,</w:t>
      </w:r>
    </w:p>
    <w:p w14:paraId="1CB96F0E" w14:textId="2A489026" w:rsidR="008308A6" w:rsidRPr="00C81C52" w:rsidRDefault="008308A6" w:rsidP="00480B97">
      <w:pPr>
        <w:pStyle w:val="ListParagraph"/>
        <w:numPr>
          <w:ilvl w:val="0"/>
          <w:numId w:val="39"/>
        </w:numPr>
      </w:pPr>
      <w:r>
        <w:rPr>
          <w:b/>
        </w:rPr>
        <w:t xml:space="preserve">EETS palubné zariadenie </w:t>
      </w:r>
      <w:r>
        <w:t>– OBE jednotky tretích strán, schválené pre použitie v Slovenskej mýtnej doméne.</w:t>
      </w:r>
    </w:p>
    <w:p w14:paraId="6206EBDB" w14:textId="77777777" w:rsidR="00980BC7" w:rsidRDefault="0006746B" w:rsidP="008308A6">
      <w:pPr>
        <w:keepNext/>
        <w:ind w:left="-142"/>
        <w:jc w:val="center"/>
      </w:pPr>
      <w:r>
        <w:rPr>
          <w:noProof/>
          <w:lang w:val="cs-CZ"/>
        </w:rPr>
        <w:lastRenderedPageBreak/>
        <w:drawing>
          <wp:inline distT="0" distB="0" distL="0" distR="0" wp14:anchorId="7BD1D865" wp14:editId="6BBAAC7C">
            <wp:extent cx="3555494" cy="3132814"/>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_arch_v.0.3.gif"/>
                    <pic:cNvPicPr/>
                  </pic:nvPicPr>
                  <pic:blipFill>
                    <a:blip r:embed="rId13">
                      <a:extLst>
                        <a:ext uri="{28A0092B-C50C-407E-A947-70E740481C1C}">
                          <a14:useLocalDpi xmlns:a14="http://schemas.microsoft.com/office/drawing/2010/main" val="0"/>
                        </a:ext>
                      </a:extLst>
                    </a:blip>
                    <a:stretch>
                      <a:fillRect/>
                    </a:stretch>
                  </pic:blipFill>
                  <pic:spPr>
                    <a:xfrm>
                      <a:off x="0" y="0"/>
                      <a:ext cx="3559575" cy="3136409"/>
                    </a:xfrm>
                    <a:prstGeom prst="rect">
                      <a:avLst/>
                    </a:prstGeom>
                  </pic:spPr>
                </pic:pic>
              </a:graphicData>
            </a:graphic>
          </wp:inline>
        </w:drawing>
      </w:r>
    </w:p>
    <w:p w14:paraId="3A40A34F" w14:textId="750CCFCF" w:rsidR="0006746B" w:rsidRDefault="00980BC7" w:rsidP="008308A6">
      <w:pPr>
        <w:pStyle w:val="Caption"/>
        <w:jc w:val="center"/>
      </w:pPr>
      <w:r>
        <w:t xml:space="preserve">Obr. </w:t>
      </w:r>
      <w:r>
        <w:fldChar w:fldCharType="begin"/>
      </w:r>
      <w:r>
        <w:instrText xml:space="preserve"> SEQ Obr. \* ARABIC </w:instrText>
      </w:r>
      <w:r>
        <w:fldChar w:fldCharType="separate"/>
      </w:r>
      <w:r w:rsidR="00A86720">
        <w:rPr>
          <w:noProof/>
        </w:rPr>
        <w:t>5</w:t>
      </w:r>
      <w:r>
        <w:fldChar w:fldCharType="end"/>
      </w:r>
      <w:r>
        <w:t xml:space="preserve"> - Aplika</w:t>
      </w:r>
      <w:r w:rsidR="008308A6">
        <w:t>čná architektúra, cieľový stav</w:t>
      </w:r>
    </w:p>
    <w:p w14:paraId="4B51A2F4" w14:textId="77777777" w:rsidR="0006746B" w:rsidRPr="008344E9" w:rsidRDefault="0006746B" w:rsidP="008344E9"/>
    <w:p w14:paraId="4BD28EE1" w14:textId="69927644" w:rsidR="00E3086F" w:rsidRDefault="00E3086F" w:rsidP="00E3086F">
      <w:pPr>
        <w:pStyle w:val="Heading2"/>
      </w:pPr>
      <w:bookmarkStart w:id="107" w:name="_Toc87348733"/>
      <w:r>
        <w:t>Prevádzka</w:t>
      </w:r>
      <w:bookmarkEnd w:id="107"/>
    </w:p>
    <w:p w14:paraId="32CFFD86" w14:textId="5CE7E229" w:rsidR="00101C3B" w:rsidRDefault="00101C3B" w:rsidP="00101C3B">
      <w:r>
        <w:t xml:space="preserve">Prevádzku EETS zabezpečuje SkyToll v rámci plnenia rozšírenia služieb podľa Zmluvy ETC. SkyToll v mene </w:t>
      </w:r>
      <w:r w:rsidR="00B324B6">
        <w:t>Správc</w:t>
      </w:r>
      <w:r>
        <w:t xml:space="preserve">u výberu mýta </w:t>
      </w:r>
      <w:r w:rsidR="008A5998">
        <w:t xml:space="preserve">v rámci projektu </w:t>
      </w:r>
      <w:r>
        <w:t>vykonáva nižšie uvedené čiastkové služby:</w:t>
      </w:r>
    </w:p>
    <w:p w14:paraId="40535B3F" w14:textId="64B41A66" w:rsidR="001522A1" w:rsidRDefault="001522A1" w:rsidP="00480B97">
      <w:pPr>
        <w:pStyle w:val="ListParagraph"/>
        <w:numPr>
          <w:ilvl w:val="0"/>
          <w:numId w:val="28"/>
        </w:numPr>
      </w:pPr>
      <w:r>
        <w:t xml:space="preserve">Spracovanie mýtnych </w:t>
      </w:r>
      <w:r w:rsidR="008A5998">
        <w:t>dát</w:t>
      </w:r>
      <w:r>
        <w:t xml:space="preserve"> vozidiel EETS</w:t>
      </w:r>
    </w:p>
    <w:p w14:paraId="36C35FBA" w14:textId="77777777" w:rsidR="00F56316" w:rsidRDefault="00F56316" w:rsidP="00480B97">
      <w:pPr>
        <w:pStyle w:val="ListParagraph"/>
        <w:numPr>
          <w:ilvl w:val="1"/>
          <w:numId w:val="28"/>
        </w:numPr>
      </w:pPr>
      <w:r>
        <w:t>správa a výmena dôveryhodných objektov a zaistenie kybernetickej bezpečnosti,</w:t>
      </w:r>
    </w:p>
    <w:p w14:paraId="55320888" w14:textId="074E3F67" w:rsidR="00F56316" w:rsidRDefault="00F56316" w:rsidP="00480B97">
      <w:pPr>
        <w:pStyle w:val="ListParagraph"/>
        <w:numPr>
          <w:ilvl w:val="1"/>
          <w:numId w:val="28"/>
        </w:numPr>
      </w:pPr>
      <w:r>
        <w:t>zber a spracovanie polohových údajov vozidiel EETS,</w:t>
      </w:r>
    </w:p>
    <w:p w14:paraId="6B79D27A" w14:textId="77777777" w:rsidR="001522A1" w:rsidRDefault="00F56316" w:rsidP="00480B97">
      <w:pPr>
        <w:pStyle w:val="ListParagraph"/>
        <w:numPr>
          <w:ilvl w:val="1"/>
          <w:numId w:val="28"/>
        </w:numPr>
      </w:pPr>
      <w:r>
        <w:t xml:space="preserve">spracovanie polohových údajov do formy </w:t>
      </w:r>
      <w:r w:rsidR="001522A1">
        <w:t xml:space="preserve">mýtnych udalostí, </w:t>
      </w:r>
    </w:p>
    <w:p w14:paraId="0BD9EC0E" w14:textId="04A81447" w:rsidR="001522A1" w:rsidRDefault="001522A1" w:rsidP="00480B97">
      <w:pPr>
        <w:pStyle w:val="ListParagraph"/>
        <w:numPr>
          <w:ilvl w:val="1"/>
          <w:numId w:val="28"/>
        </w:numPr>
      </w:pPr>
      <w:r>
        <w:t>správa a údržba modulu mapového priradenia vrátane údržby geo-modelu,</w:t>
      </w:r>
    </w:p>
    <w:p w14:paraId="141E9CF2" w14:textId="77777777" w:rsidR="001522A1" w:rsidRDefault="001522A1" w:rsidP="00480B97">
      <w:pPr>
        <w:pStyle w:val="ListParagraph"/>
        <w:numPr>
          <w:ilvl w:val="1"/>
          <w:numId w:val="28"/>
        </w:numPr>
      </w:pPr>
      <w:r>
        <w:t>spracovanie štatistík a kontrola kvalitatívnych parametrov.</w:t>
      </w:r>
    </w:p>
    <w:p w14:paraId="71DA4A75" w14:textId="77777777" w:rsidR="001522A1" w:rsidRDefault="001522A1" w:rsidP="00480B97">
      <w:pPr>
        <w:pStyle w:val="ListParagraph"/>
        <w:numPr>
          <w:ilvl w:val="0"/>
          <w:numId w:val="28"/>
        </w:numPr>
      </w:pPr>
      <w:r>
        <w:t>Management zákazníkov EETS</w:t>
      </w:r>
    </w:p>
    <w:p w14:paraId="2947C191" w14:textId="265006FE" w:rsidR="001522A1" w:rsidRDefault="001522A1" w:rsidP="00480B97">
      <w:pPr>
        <w:pStyle w:val="ListParagraph"/>
        <w:numPr>
          <w:ilvl w:val="1"/>
          <w:numId w:val="28"/>
        </w:numPr>
      </w:pPr>
      <w:r>
        <w:t>správa poskytovateľov EETS,</w:t>
      </w:r>
    </w:p>
    <w:p w14:paraId="11E55B49" w14:textId="6CA37C71" w:rsidR="00101C3B" w:rsidRDefault="001522A1" w:rsidP="00480B97">
      <w:pPr>
        <w:pStyle w:val="ListParagraph"/>
        <w:numPr>
          <w:ilvl w:val="1"/>
          <w:numId w:val="28"/>
        </w:numPr>
      </w:pPr>
      <w:r>
        <w:t>správa vozidiel EETS,</w:t>
      </w:r>
    </w:p>
    <w:p w14:paraId="56E9DDF4" w14:textId="7788F891" w:rsidR="001522A1" w:rsidRDefault="001522A1" w:rsidP="00480B97">
      <w:pPr>
        <w:pStyle w:val="ListParagraph"/>
        <w:numPr>
          <w:ilvl w:val="1"/>
          <w:numId w:val="28"/>
        </w:numPr>
      </w:pPr>
      <w:r>
        <w:t>správa zoznamov palubných zariadení OBE (čierna listina, biela listina),</w:t>
      </w:r>
    </w:p>
    <w:p w14:paraId="5CB4BAD3" w14:textId="3B5672F4" w:rsidR="001522A1" w:rsidRDefault="001522A1" w:rsidP="00480B97">
      <w:pPr>
        <w:pStyle w:val="ListParagraph"/>
        <w:numPr>
          <w:ilvl w:val="0"/>
          <w:numId w:val="28"/>
        </w:numPr>
      </w:pPr>
      <w:r>
        <w:t>Kontrola vozidiel EETS</w:t>
      </w:r>
    </w:p>
    <w:p w14:paraId="7E84DE24" w14:textId="7287576F" w:rsidR="001522A1" w:rsidRDefault="008A5998" w:rsidP="00480B97">
      <w:pPr>
        <w:pStyle w:val="ListParagraph"/>
        <w:numPr>
          <w:ilvl w:val="1"/>
          <w:numId w:val="28"/>
        </w:numPr>
      </w:pPr>
      <w:r>
        <w:t>identifikácia vozidiel EETS,</w:t>
      </w:r>
    </w:p>
    <w:p w14:paraId="4D322027" w14:textId="38A164C8" w:rsidR="008A5998" w:rsidRDefault="008A5998" w:rsidP="00480B97">
      <w:pPr>
        <w:pStyle w:val="ListParagraph"/>
        <w:numPr>
          <w:ilvl w:val="1"/>
          <w:numId w:val="28"/>
        </w:numPr>
      </w:pPr>
      <w:r>
        <w:t>kontrola vozidiel EETS prícestným zariadením,</w:t>
      </w:r>
    </w:p>
    <w:p w14:paraId="22A41EB4" w14:textId="0D80FB1B" w:rsidR="008A5998" w:rsidRDefault="008A5998" w:rsidP="00480B97">
      <w:pPr>
        <w:pStyle w:val="ListParagraph"/>
        <w:numPr>
          <w:ilvl w:val="1"/>
          <w:numId w:val="28"/>
        </w:numPr>
      </w:pPr>
      <w:r>
        <w:t>kontrola vozidiel EETS na ceste posádkou hliadkovacieho vozidla mobilnej kontroly,</w:t>
      </w:r>
    </w:p>
    <w:p w14:paraId="11A0BFAD" w14:textId="703CED01" w:rsidR="008A5998" w:rsidRDefault="008A5998" w:rsidP="00480B97">
      <w:pPr>
        <w:pStyle w:val="ListParagraph"/>
        <w:numPr>
          <w:ilvl w:val="1"/>
          <w:numId w:val="28"/>
        </w:numPr>
      </w:pPr>
      <w:r>
        <w:t>výmena CCC transakcií,</w:t>
      </w:r>
    </w:p>
    <w:p w14:paraId="3611BDF0" w14:textId="2F483E82" w:rsidR="008A5998" w:rsidRDefault="008A5998" w:rsidP="00480B97">
      <w:pPr>
        <w:pStyle w:val="ListParagraph"/>
        <w:numPr>
          <w:ilvl w:val="1"/>
          <w:numId w:val="28"/>
        </w:numPr>
      </w:pPr>
      <w:r>
        <w:t>riešenie incidentov s poskytovateľmi EETS.</w:t>
      </w:r>
    </w:p>
    <w:p w14:paraId="6BD2E549" w14:textId="7DC3A993" w:rsidR="008A5998" w:rsidRDefault="008A5998" w:rsidP="00480B97">
      <w:pPr>
        <w:pStyle w:val="ListParagraph"/>
        <w:numPr>
          <w:ilvl w:val="0"/>
          <w:numId w:val="28"/>
        </w:numPr>
      </w:pPr>
      <w:r>
        <w:t>Spracovanie mýtnych transakcií poskytovateľov EETS, fakturácia súhrnného mýta, finančné vysporiadanie a zaúčtovanie súhrnného mýta, zliav a DPH</w:t>
      </w:r>
    </w:p>
    <w:p w14:paraId="10B6B40B" w14:textId="33AC5779" w:rsidR="008A5998" w:rsidRDefault="008A5998" w:rsidP="00480B97">
      <w:pPr>
        <w:pStyle w:val="ListParagraph"/>
        <w:numPr>
          <w:ilvl w:val="1"/>
          <w:numId w:val="28"/>
        </w:numPr>
      </w:pPr>
      <w:r>
        <w:t>ocenenie mýtnych transakcií EETS,</w:t>
      </w:r>
    </w:p>
    <w:p w14:paraId="75A497D8" w14:textId="0FDD3656" w:rsidR="008A5998" w:rsidRDefault="008A5998" w:rsidP="00480B97">
      <w:pPr>
        <w:pStyle w:val="ListParagraph"/>
        <w:numPr>
          <w:ilvl w:val="1"/>
          <w:numId w:val="28"/>
        </w:numPr>
      </w:pPr>
      <w:r>
        <w:t>výpočet nároku na zľavy z mýta na základe mýtnych transakcií EETS a poskytnutie zľavy,</w:t>
      </w:r>
    </w:p>
    <w:p w14:paraId="73021959" w14:textId="36A81FCA" w:rsidR="008A5998" w:rsidRDefault="008A5998" w:rsidP="00480B97">
      <w:pPr>
        <w:pStyle w:val="ListParagraph"/>
        <w:numPr>
          <w:ilvl w:val="1"/>
          <w:numId w:val="28"/>
        </w:numPr>
      </w:pPr>
      <w:r>
        <w:lastRenderedPageBreak/>
        <w:t>výpočet DPH,</w:t>
      </w:r>
    </w:p>
    <w:p w14:paraId="6AD85FBF" w14:textId="7C74CE8C" w:rsidR="008A5998" w:rsidRDefault="008A5998" w:rsidP="00480B97">
      <w:pPr>
        <w:pStyle w:val="ListParagraph"/>
        <w:numPr>
          <w:ilvl w:val="1"/>
          <w:numId w:val="28"/>
        </w:numPr>
      </w:pPr>
      <w:r>
        <w:t xml:space="preserve">zaúčtovanie mýta, zliav a DPH, vrátane tvorby </w:t>
      </w:r>
      <w:r w:rsidR="006147C2">
        <w:t>predpísaných výkazov,</w:t>
      </w:r>
    </w:p>
    <w:p w14:paraId="612F4D5B" w14:textId="2B99075E" w:rsidR="008A5998" w:rsidRDefault="006147C2" w:rsidP="00480B97">
      <w:pPr>
        <w:pStyle w:val="ListParagraph"/>
        <w:numPr>
          <w:ilvl w:val="1"/>
          <w:numId w:val="28"/>
        </w:numPr>
      </w:pPr>
      <w:r>
        <w:t>fakturácia súhrnného mýta poskytovateľom EETS, vrátane poskytovania detailov vyúčtovania,</w:t>
      </w:r>
    </w:p>
    <w:p w14:paraId="28BC5F0A" w14:textId="51BBA82D" w:rsidR="006147C2" w:rsidRDefault="006147C2" w:rsidP="00480B97">
      <w:pPr>
        <w:pStyle w:val="ListParagraph"/>
        <w:numPr>
          <w:ilvl w:val="1"/>
          <w:numId w:val="28"/>
        </w:numPr>
      </w:pPr>
      <w:r>
        <w:t>správa platieb a pohľadávok,</w:t>
      </w:r>
    </w:p>
    <w:p w14:paraId="272FB0F9" w14:textId="7D9FF916" w:rsidR="006147C2" w:rsidRDefault="006147C2" w:rsidP="00480B97">
      <w:pPr>
        <w:pStyle w:val="ListParagraph"/>
        <w:numPr>
          <w:ilvl w:val="1"/>
          <w:numId w:val="28"/>
        </w:numPr>
      </w:pPr>
      <w:r>
        <w:t>upomínanie platieb,</w:t>
      </w:r>
    </w:p>
    <w:p w14:paraId="7D23C9A8" w14:textId="3569EC89" w:rsidR="006147C2" w:rsidRDefault="006147C2" w:rsidP="00480B97">
      <w:pPr>
        <w:pStyle w:val="ListParagraph"/>
        <w:numPr>
          <w:ilvl w:val="1"/>
          <w:numId w:val="28"/>
        </w:numPr>
      </w:pPr>
      <w:r>
        <w:t>riešenie problémov a podpora (hot-line) poskytovateľov EETS.</w:t>
      </w:r>
    </w:p>
    <w:p w14:paraId="198B9E4A" w14:textId="77777777" w:rsidR="008A5998" w:rsidRDefault="008A5998" w:rsidP="008A5998">
      <w:r>
        <w:t>Prevádzka služieb EETS v rámci komplexnej služby elektronického výberu mýta sa uskutočňuje v nepretržitom režime 7×24 s vysokou dostupnosťou.</w:t>
      </w:r>
    </w:p>
    <w:p w14:paraId="06C5B0E2" w14:textId="42CB1A4A" w:rsidR="00A83B15" w:rsidRDefault="008A5998" w:rsidP="005A7D49">
      <w:r>
        <w:t xml:space="preserve"> </w:t>
      </w:r>
    </w:p>
    <w:p w14:paraId="099E6436" w14:textId="5EF8E96E" w:rsidR="00430681" w:rsidRDefault="00430681" w:rsidP="00430681">
      <w:pPr>
        <w:pStyle w:val="Heading2"/>
      </w:pPr>
      <w:bookmarkStart w:id="108" w:name="_Toc87348734"/>
      <w:r>
        <w:t>Implementácia a migrácia</w:t>
      </w:r>
      <w:bookmarkEnd w:id="108"/>
    </w:p>
    <w:p w14:paraId="04189388" w14:textId="7B6EED1D" w:rsidR="00430681" w:rsidRDefault="00430681" w:rsidP="00430681">
      <w:pPr>
        <w:pStyle w:val="Heading3"/>
      </w:pPr>
      <w:bookmarkStart w:id="109" w:name="_Ref72133432"/>
      <w:bookmarkStart w:id="110" w:name="_Ref72244697"/>
      <w:bookmarkStart w:id="111" w:name="_Toc87348735"/>
      <w:r>
        <w:t>Harmonogram projektu</w:t>
      </w:r>
      <w:bookmarkEnd w:id="109"/>
      <w:bookmarkEnd w:id="110"/>
      <w:bookmarkEnd w:id="111"/>
    </w:p>
    <w:p w14:paraId="78A12CBF" w14:textId="12F01BA5" w:rsidR="002A038F" w:rsidRDefault="00B64A44" w:rsidP="005D6DEB">
      <w:r>
        <w:t xml:space="preserve">Implementácia EETS podľa návrhu SkyToll bude prebiehať podľa nižšie uvedeného harmonogramu. </w:t>
      </w:r>
      <w:r w:rsidR="002A038F">
        <w:t xml:space="preserve">Celý projekt sa navrhuje realizovať </w:t>
      </w:r>
      <w:r w:rsidR="005D6DEB">
        <w:t>počnúc 1.9.2021</w:t>
      </w:r>
      <w:r w:rsidR="00F26A17">
        <w:t xml:space="preserve"> </w:t>
      </w:r>
      <w:r w:rsidR="005D6DEB">
        <w:t xml:space="preserve">a to iba za podmienky, že dôjde k odloženiu </w:t>
      </w:r>
      <w:r w:rsidR="0065073E">
        <w:t xml:space="preserve">pripravovaného </w:t>
      </w:r>
      <w:r w:rsidR="005D6DEB">
        <w:t xml:space="preserve">projektu </w:t>
      </w:r>
      <w:r w:rsidR="0065073E">
        <w:t>„</w:t>
      </w:r>
      <w:r w:rsidR="005D6DEB">
        <w:t>Vybudovanie Elektronického mýtneho systému a poskytovanie Služieb technickej podpory</w:t>
      </w:r>
      <w:r w:rsidR="0065073E">
        <w:t>“</w:t>
      </w:r>
      <w:r w:rsidR="005D6DEB">
        <w:t>, ktorý problematiku EETS rieši v komplexnom rozsahu.</w:t>
      </w:r>
    </w:p>
    <w:p w14:paraId="662CCA26" w14:textId="413225B2" w:rsidR="00DF10CC" w:rsidRDefault="00DF10CC" w:rsidP="00FA6605">
      <w:pPr>
        <w:pStyle w:val="Caption"/>
      </w:pPr>
      <w:r>
        <w:t xml:space="preserve">Tab. </w:t>
      </w:r>
      <w:r>
        <w:fldChar w:fldCharType="begin"/>
      </w:r>
      <w:r>
        <w:instrText xml:space="preserve"> SEQ Tab. \* ARABIC </w:instrText>
      </w:r>
      <w:r>
        <w:fldChar w:fldCharType="separate"/>
      </w:r>
      <w:r w:rsidR="00A86720">
        <w:rPr>
          <w:noProof/>
        </w:rPr>
        <w:t>21</w:t>
      </w:r>
      <w:r>
        <w:fldChar w:fldCharType="end"/>
      </w:r>
      <w:r>
        <w:t xml:space="preserve"> - Časový harmonogram projektu</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6914"/>
        <w:gridCol w:w="2260"/>
      </w:tblGrid>
      <w:tr w:rsidR="00DF10CC" w:rsidRPr="002A038F" w14:paraId="2D550CBE" w14:textId="77777777" w:rsidTr="00A40297">
        <w:trPr>
          <w:trHeight w:val="509"/>
        </w:trPr>
        <w:tc>
          <w:tcPr>
            <w:tcW w:w="6914" w:type="dxa"/>
            <w:shd w:val="clear" w:color="auto" w:fill="BDD6EE" w:themeFill="accent1" w:themeFillTint="66"/>
            <w:vAlign w:val="center"/>
          </w:tcPr>
          <w:p w14:paraId="5F54126F" w14:textId="77777777" w:rsidR="00DF10CC" w:rsidRPr="002A038F" w:rsidRDefault="00DF10CC" w:rsidP="00D3077B">
            <w:pPr>
              <w:pStyle w:val="Q14Tablevisiblen"/>
              <w:ind w:left="59"/>
              <w:jc w:val="left"/>
              <w:rPr>
                <w:rFonts w:asciiTheme="minorHAnsi" w:hAnsiTheme="minorHAnsi"/>
                <w:sz w:val="20"/>
                <w:szCs w:val="18"/>
                <w:lang w:val="sk-SK"/>
              </w:rPr>
            </w:pPr>
            <w:r w:rsidRPr="002A038F">
              <w:rPr>
                <w:rFonts w:asciiTheme="minorHAnsi" w:hAnsiTheme="minorHAnsi"/>
                <w:sz w:val="20"/>
                <w:szCs w:val="18"/>
                <w:lang w:val="sk-SK"/>
              </w:rPr>
              <w:t>Úloha</w:t>
            </w:r>
          </w:p>
        </w:tc>
        <w:tc>
          <w:tcPr>
            <w:tcW w:w="2260" w:type="dxa"/>
            <w:shd w:val="clear" w:color="auto" w:fill="BDD6EE" w:themeFill="accent1" w:themeFillTint="66"/>
            <w:vAlign w:val="center"/>
          </w:tcPr>
          <w:p w14:paraId="3754051D" w14:textId="77777777" w:rsidR="00DF10CC" w:rsidRPr="002A038F" w:rsidRDefault="00DF10CC" w:rsidP="00D3077B">
            <w:pPr>
              <w:pStyle w:val="Q14Tablevisiblen"/>
              <w:jc w:val="left"/>
              <w:rPr>
                <w:rFonts w:asciiTheme="minorHAnsi" w:hAnsiTheme="minorHAnsi"/>
                <w:sz w:val="20"/>
                <w:szCs w:val="18"/>
                <w:lang w:val="sk-SK"/>
              </w:rPr>
            </w:pPr>
            <w:r w:rsidRPr="002A038F">
              <w:rPr>
                <w:rFonts w:asciiTheme="minorHAnsi" w:hAnsiTheme="minorHAnsi"/>
                <w:sz w:val="20"/>
                <w:szCs w:val="18"/>
                <w:lang w:val="sk-SK"/>
              </w:rPr>
              <w:t>Termín</w:t>
            </w:r>
          </w:p>
        </w:tc>
      </w:tr>
      <w:tr w:rsidR="00DF10CC" w:rsidRPr="002A038F" w14:paraId="07DC75D3" w14:textId="77777777" w:rsidTr="00A40297">
        <w:trPr>
          <w:trHeight w:val="283"/>
        </w:trPr>
        <w:tc>
          <w:tcPr>
            <w:tcW w:w="6914" w:type="dxa"/>
            <w:shd w:val="clear" w:color="auto" w:fill="DEEAF6" w:themeFill="accent1" w:themeFillTint="33"/>
          </w:tcPr>
          <w:p w14:paraId="32D69B62" w14:textId="77777777" w:rsidR="00DF10CC" w:rsidRPr="002A038F" w:rsidRDefault="00DF10CC" w:rsidP="00D3077B">
            <w:pPr>
              <w:pStyle w:val="Q14Tablevisiblen"/>
              <w:ind w:left="59"/>
              <w:jc w:val="left"/>
              <w:rPr>
                <w:rFonts w:asciiTheme="minorHAnsi" w:hAnsiTheme="minorHAnsi"/>
                <w:sz w:val="20"/>
                <w:szCs w:val="18"/>
                <w:lang w:val="sk-SK" w:eastAsia="sk-SK"/>
              </w:rPr>
            </w:pPr>
            <w:r w:rsidRPr="002A038F">
              <w:rPr>
                <w:rFonts w:asciiTheme="minorHAnsi" w:hAnsiTheme="minorHAnsi"/>
                <w:sz w:val="20"/>
                <w:szCs w:val="18"/>
                <w:lang w:val="sk-SK" w:eastAsia="sk-SK"/>
              </w:rPr>
              <w:t>Začatie projektu</w:t>
            </w:r>
          </w:p>
        </w:tc>
        <w:tc>
          <w:tcPr>
            <w:tcW w:w="2260" w:type="dxa"/>
          </w:tcPr>
          <w:p w14:paraId="6E13C794" w14:textId="77777777" w:rsidR="00DF10CC" w:rsidRPr="002A038F" w:rsidRDefault="00DF10CC" w:rsidP="00D3077B">
            <w:pPr>
              <w:pStyle w:val="Q14Tablevisiblen"/>
              <w:jc w:val="left"/>
              <w:rPr>
                <w:rFonts w:asciiTheme="minorHAnsi" w:hAnsiTheme="minorHAnsi"/>
                <w:sz w:val="20"/>
                <w:szCs w:val="18"/>
                <w:lang w:val="sk-SK" w:eastAsia="sk-SK"/>
              </w:rPr>
            </w:pPr>
            <w:r w:rsidRPr="002A038F">
              <w:rPr>
                <w:rFonts w:asciiTheme="minorHAnsi" w:hAnsiTheme="minorHAnsi"/>
                <w:sz w:val="20"/>
                <w:szCs w:val="18"/>
                <w:lang w:val="sk-SK"/>
              </w:rPr>
              <w:t>T0</w:t>
            </w:r>
          </w:p>
        </w:tc>
      </w:tr>
      <w:tr w:rsidR="00DF10CC" w:rsidRPr="002A038F" w14:paraId="742699D1" w14:textId="77777777" w:rsidTr="00A40297">
        <w:trPr>
          <w:trHeight w:val="283"/>
        </w:trPr>
        <w:tc>
          <w:tcPr>
            <w:tcW w:w="6914" w:type="dxa"/>
            <w:shd w:val="clear" w:color="auto" w:fill="DEEAF6" w:themeFill="accent1" w:themeFillTint="33"/>
          </w:tcPr>
          <w:p w14:paraId="2FA0D946" w14:textId="6C1B0A27" w:rsidR="00DF10CC" w:rsidRPr="002A038F" w:rsidRDefault="0005564D" w:rsidP="0005564D">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A</w:t>
            </w:r>
            <w:r w:rsidR="00DF10CC" w:rsidRPr="002A038F">
              <w:rPr>
                <w:rFonts w:asciiTheme="minorHAnsi" w:hAnsiTheme="minorHAnsi"/>
                <w:sz w:val="20"/>
                <w:szCs w:val="18"/>
                <w:lang w:val="sk-SK" w:eastAsia="sk-SK"/>
              </w:rPr>
              <w:t>nalýz</w:t>
            </w:r>
            <w:r>
              <w:rPr>
                <w:rFonts w:asciiTheme="minorHAnsi" w:hAnsiTheme="minorHAnsi"/>
                <w:sz w:val="20"/>
                <w:szCs w:val="18"/>
                <w:lang w:val="sk-SK" w:eastAsia="sk-SK"/>
              </w:rPr>
              <w:t>a</w:t>
            </w:r>
            <w:r w:rsidR="00DF10CC" w:rsidRPr="002A038F">
              <w:rPr>
                <w:rFonts w:asciiTheme="minorHAnsi" w:hAnsiTheme="minorHAnsi"/>
                <w:sz w:val="20"/>
                <w:szCs w:val="18"/>
                <w:lang w:val="sk-SK" w:eastAsia="sk-SK"/>
              </w:rPr>
              <w:t> </w:t>
            </w:r>
            <w:r>
              <w:rPr>
                <w:rFonts w:asciiTheme="minorHAnsi" w:hAnsiTheme="minorHAnsi"/>
                <w:sz w:val="20"/>
                <w:szCs w:val="18"/>
                <w:lang w:val="sk-SK" w:eastAsia="sk-SK"/>
              </w:rPr>
              <w:t xml:space="preserve">a </w:t>
            </w:r>
            <w:r w:rsidR="00DF10CC" w:rsidRPr="002A038F">
              <w:rPr>
                <w:rFonts w:asciiTheme="minorHAnsi" w:hAnsiTheme="minorHAnsi"/>
                <w:sz w:val="20"/>
                <w:szCs w:val="18"/>
                <w:lang w:val="sk-SK" w:eastAsia="sk-SK"/>
              </w:rPr>
              <w:t>návrh riešenia</w:t>
            </w:r>
          </w:p>
        </w:tc>
        <w:tc>
          <w:tcPr>
            <w:tcW w:w="2260" w:type="dxa"/>
          </w:tcPr>
          <w:p w14:paraId="48BC200E" w14:textId="1EC425EE" w:rsidR="00DF10CC" w:rsidRPr="002A038F" w:rsidRDefault="00DF10CC" w:rsidP="005D6DEB">
            <w:pPr>
              <w:pStyle w:val="Q14Tablevisiblen"/>
              <w:jc w:val="left"/>
              <w:rPr>
                <w:rFonts w:asciiTheme="minorHAnsi" w:hAnsiTheme="minorHAnsi"/>
                <w:sz w:val="20"/>
                <w:szCs w:val="18"/>
                <w:lang w:val="sk-SK"/>
              </w:rPr>
            </w:pPr>
            <w:r w:rsidRPr="002A038F">
              <w:rPr>
                <w:rFonts w:asciiTheme="minorHAnsi" w:hAnsiTheme="minorHAnsi"/>
                <w:sz w:val="20"/>
                <w:szCs w:val="18"/>
                <w:lang w:val="sk-SK"/>
              </w:rPr>
              <w:t xml:space="preserve">T1 = T0 + </w:t>
            </w:r>
            <w:r w:rsidR="005D6DEB">
              <w:rPr>
                <w:rFonts w:asciiTheme="minorHAnsi" w:hAnsiTheme="minorHAnsi"/>
                <w:sz w:val="20"/>
                <w:szCs w:val="18"/>
                <w:lang w:val="sk-SK"/>
              </w:rPr>
              <w:t>2</w:t>
            </w:r>
            <w:r w:rsidR="005D6DEB" w:rsidRPr="002A038F">
              <w:rPr>
                <w:rFonts w:asciiTheme="minorHAnsi" w:hAnsiTheme="minorHAnsi"/>
                <w:sz w:val="20"/>
                <w:szCs w:val="18"/>
                <w:lang w:val="sk-SK"/>
              </w:rPr>
              <w:t xml:space="preserve"> </w:t>
            </w:r>
            <w:r w:rsidR="005D6DEB">
              <w:rPr>
                <w:rFonts w:asciiTheme="minorHAnsi" w:hAnsiTheme="minorHAnsi"/>
                <w:sz w:val="20"/>
                <w:szCs w:val="18"/>
                <w:lang w:val="sk-SK"/>
              </w:rPr>
              <w:t>týždne</w:t>
            </w:r>
          </w:p>
        </w:tc>
      </w:tr>
      <w:tr w:rsidR="00DF10CC" w:rsidRPr="002A038F" w14:paraId="2280D4A1" w14:textId="77777777" w:rsidTr="00A40297">
        <w:trPr>
          <w:trHeight w:val="283"/>
        </w:trPr>
        <w:tc>
          <w:tcPr>
            <w:tcW w:w="6914" w:type="dxa"/>
            <w:shd w:val="clear" w:color="auto" w:fill="DEEAF6" w:themeFill="accent1" w:themeFillTint="33"/>
          </w:tcPr>
          <w:p w14:paraId="07E7D3E0" w14:textId="7032ABC6" w:rsidR="00DF10CC" w:rsidRPr="002A038F" w:rsidRDefault="0005564D" w:rsidP="00D3077B">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Implementácia</w:t>
            </w:r>
            <w:r w:rsidR="00DF10CC" w:rsidRPr="002A038F">
              <w:rPr>
                <w:lang w:val="sk-SK"/>
              </w:rPr>
              <w:t xml:space="preserve"> </w:t>
            </w:r>
          </w:p>
        </w:tc>
        <w:tc>
          <w:tcPr>
            <w:tcW w:w="2260" w:type="dxa"/>
          </w:tcPr>
          <w:p w14:paraId="63B7F00B" w14:textId="64F09FC9" w:rsidR="00DF10CC" w:rsidRPr="002A038F" w:rsidRDefault="00DF10CC" w:rsidP="005D6DEB">
            <w:pPr>
              <w:pStyle w:val="Q14Tablevisiblen"/>
              <w:jc w:val="left"/>
              <w:rPr>
                <w:rFonts w:asciiTheme="minorHAnsi" w:hAnsiTheme="minorHAnsi"/>
                <w:sz w:val="20"/>
                <w:szCs w:val="18"/>
                <w:lang w:val="sk-SK"/>
              </w:rPr>
            </w:pPr>
            <w:r w:rsidRPr="002A038F">
              <w:rPr>
                <w:rFonts w:asciiTheme="minorHAnsi" w:hAnsiTheme="minorHAnsi"/>
                <w:sz w:val="20"/>
                <w:szCs w:val="18"/>
                <w:lang w:val="sk-SK"/>
              </w:rPr>
              <w:t xml:space="preserve">T2 = T1 + </w:t>
            </w:r>
            <w:r w:rsidR="005D6DEB">
              <w:rPr>
                <w:rFonts w:asciiTheme="minorHAnsi" w:hAnsiTheme="minorHAnsi"/>
                <w:sz w:val="20"/>
                <w:szCs w:val="18"/>
                <w:lang w:val="sk-SK"/>
              </w:rPr>
              <w:t>12</w:t>
            </w:r>
            <w:r w:rsidR="005D6DEB" w:rsidRPr="002A038F">
              <w:rPr>
                <w:rFonts w:asciiTheme="minorHAnsi" w:hAnsiTheme="minorHAnsi"/>
                <w:sz w:val="20"/>
                <w:szCs w:val="18"/>
                <w:lang w:val="sk-SK"/>
              </w:rPr>
              <w:t xml:space="preserve"> </w:t>
            </w:r>
            <w:r w:rsidR="005D6DEB">
              <w:rPr>
                <w:rFonts w:asciiTheme="minorHAnsi" w:hAnsiTheme="minorHAnsi"/>
                <w:sz w:val="20"/>
                <w:szCs w:val="18"/>
                <w:lang w:val="sk-SK"/>
              </w:rPr>
              <w:t>týždňov</w:t>
            </w:r>
          </w:p>
        </w:tc>
      </w:tr>
      <w:tr w:rsidR="00DF10CC" w:rsidRPr="002A038F" w14:paraId="54CFAE56" w14:textId="77777777" w:rsidTr="00A40297">
        <w:trPr>
          <w:trHeight w:val="283"/>
        </w:trPr>
        <w:tc>
          <w:tcPr>
            <w:tcW w:w="6914" w:type="dxa"/>
            <w:shd w:val="clear" w:color="auto" w:fill="DEEAF6" w:themeFill="accent1" w:themeFillTint="33"/>
          </w:tcPr>
          <w:p w14:paraId="4369D6EA" w14:textId="207E0805" w:rsidR="00DF10CC" w:rsidRPr="002A038F" w:rsidRDefault="0005564D" w:rsidP="00D3077B">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Testovanie</w:t>
            </w:r>
            <w:r w:rsidR="00DF10CC" w:rsidRPr="002A038F">
              <w:rPr>
                <w:rFonts w:asciiTheme="minorHAnsi" w:hAnsiTheme="minorHAnsi"/>
                <w:sz w:val="20"/>
                <w:szCs w:val="18"/>
                <w:vertAlign w:val="superscript"/>
                <w:lang w:val="sk-SK"/>
              </w:rPr>
              <w:t xml:space="preserve"> </w:t>
            </w:r>
          </w:p>
        </w:tc>
        <w:tc>
          <w:tcPr>
            <w:tcW w:w="2260" w:type="dxa"/>
          </w:tcPr>
          <w:p w14:paraId="4E66B236" w14:textId="5F6D76DA" w:rsidR="00DF10CC" w:rsidRPr="002A038F" w:rsidRDefault="00DF10CC" w:rsidP="005D6DEB">
            <w:pPr>
              <w:pStyle w:val="Q14Tablevisiblen"/>
              <w:jc w:val="left"/>
              <w:rPr>
                <w:rFonts w:asciiTheme="minorHAnsi" w:hAnsiTheme="minorHAnsi"/>
                <w:sz w:val="20"/>
                <w:szCs w:val="18"/>
                <w:lang w:val="sk-SK"/>
              </w:rPr>
            </w:pPr>
            <w:r w:rsidRPr="002A038F">
              <w:rPr>
                <w:rFonts w:asciiTheme="minorHAnsi" w:hAnsiTheme="minorHAnsi"/>
                <w:sz w:val="20"/>
                <w:szCs w:val="18"/>
                <w:lang w:val="sk-SK"/>
              </w:rPr>
              <w:t xml:space="preserve">T3 = </w:t>
            </w:r>
            <w:r w:rsidR="005D6DEB" w:rsidRPr="002A038F">
              <w:rPr>
                <w:rFonts w:asciiTheme="minorHAnsi" w:hAnsiTheme="minorHAnsi"/>
                <w:sz w:val="20"/>
                <w:szCs w:val="18"/>
                <w:lang w:val="sk-SK"/>
              </w:rPr>
              <w:t>T</w:t>
            </w:r>
            <w:r w:rsidR="005D6DEB">
              <w:rPr>
                <w:rFonts w:asciiTheme="minorHAnsi" w:hAnsiTheme="minorHAnsi"/>
                <w:sz w:val="20"/>
                <w:szCs w:val="18"/>
                <w:lang w:val="sk-SK"/>
              </w:rPr>
              <w:t>2</w:t>
            </w:r>
            <w:r w:rsidR="005D6DEB" w:rsidRPr="002A038F">
              <w:rPr>
                <w:rFonts w:asciiTheme="minorHAnsi" w:hAnsiTheme="minorHAnsi"/>
                <w:sz w:val="20"/>
                <w:szCs w:val="18"/>
                <w:lang w:val="sk-SK"/>
              </w:rPr>
              <w:t xml:space="preserve"> </w:t>
            </w:r>
            <w:r w:rsidRPr="002A038F">
              <w:rPr>
                <w:rFonts w:asciiTheme="minorHAnsi" w:hAnsiTheme="minorHAnsi"/>
                <w:sz w:val="20"/>
                <w:szCs w:val="18"/>
                <w:lang w:val="sk-SK"/>
              </w:rPr>
              <w:t xml:space="preserve">+ </w:t>
            </w:r>
            <w:r w:rsidR="005D6DEB">
              <w:rPr>
                <w:rFonts w:asciiTheme="minorHAnsi" w:hAnsiTheme="minorHAnsi"/>
                <w:sz w:val="20"/>
                <w:szCs w:val="18"/>
                <w:lang w:val="sk-SK"/>
              </w:rPr>
              <w:t>2</w:t>
            </w:r>
            <w:r w:rsidR="005D6DEB" w:rsidRPr="002A038F">
              <w:rPr>
                <w:rFonts w:asciiTheme="minorHAnsi" w:hAnsiTheme="minorHAnsi"/>
                <w:sz w:val="20"/>
                <w:szCs w:val="18"/>
                <w:lang w:val="sk-SK"/>
              </w:rPr>
              <w:t xml:space="preserve"> </w:t>
            </w:r>
            <w:r w:rsidR="005D6DEB">
              <w:rPr>
                <w:rFonts w:asciiTheme="minorHAnsi" w:hAnsiTheme="minorHAnsi"/>
                <w:sz w:val="20"/>
                <w:szCs w:val="18"/>
                <w:lang w:val="sk-SK"/>
              </w:rPr>
              <w:t>týždne</w:t>
            </w:r>
          </w:p>
        </w:tc>
      </w:tr>
      <w:tr w:rsidR="00DF10CC" w:rsidRPr="002A038F" w14:paraId="0C3C9FFC" w14:textId="77777777" w:rsidTr="00A40297">
        <w:trPr>
          <w:trHeight w:val="283"/>
        </w:trPr>
        <w:tc>
          <w:tcPr>
            <w:tcW w:w="6914" w:type="dxa"/>
            <w:shd w:val="clear" w:color="auto" w:fill="DEEAF6" w:themeFill="accent1" w:themeFillTint="33"/>
          </w:tcPr>
          <w:p w14:paraId="3E600896" w14:textId="2B12B13B" w:rsidR="00DF10CC" w:rsidRPr="002A038F" w:rsidRDefault="0005564D" w:rsidP="00D3077B">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Akceptácia a nasadenie</w:t>
            </w:r>
          </w:p>
        </w:tc>
        <w:tc>
          <w:tcPr>
            <w:tcW w:w="2260" w:type="dxa"/>
          </w:tcPr>
          <w:p w14:paraId="05363930" w14:textId="53E9BF85" w:rsidR="00DF10CC" w:rsidRPr="002A038F" w:rsidRDefault="0005564D" w:rsidP="00D3077B">
            <w:pPr>
              <w:pStyle w:val="Q14Tablevisiblen"/>
              <w:jc w:val="left"/>
              <w:rPr>
                <w:rFonts w:asciiTheme="minorHAnsi" w:hAnsiTheme="minorHAnsi"/>
                <w:sz w:val="20"/>
                <w:szCs w:val="18"/>
                <w:lang w:val="sk-SK"/>
              </w:rPr>
            </w:pPr>
            <w:r>
              <w:rPr>
                <w:rFonts w:asciiTheme="minorHAnsi" w:hAnsiTheme="minorHAnsi"/>
                <w:sz w:val="20"/>
                <w:szCs w:val="18"/>
                <w:lang w:val="sk-SK"/>
              </w:rPr>
              <w:t>T4 = T3 + 1 týždeň</w:t>
            </w:r>
          </w:p>
        </w:tc>
      </w:tr>
      <w:tr w:rsidR="00DF10CC" w:rsidRPr="002A038F" w14:paraId="4A9E6D98" w14:textId="77777777" w:rsidTr="00A40297">
        <w:trPr>
          <w:trHeight w:val="283"/>
        </w:trPr>
        <w:tc>
          <w:tcPr>
            <w:tcW w:w="6914" w:type="dxa"/>
            <w:shd w:val="clear" w:color="auto" w:fill="DEEAF6" w:themeFill="accent1" w:themeFillTint="33"/>
          </w:tcPr>
          <w:p w14:paraId="0CD24D35" w14:textId="38D20A7F" w:rsidR="00DF10CC" w:rsidRPr="002A038F" w:rsidRDefault="0005564D" w:rsidP="00D3077B">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Začatie prevádzky</w:t>
            </w:r>
          </w:p>
        </w:tc>
        <w:tc>
          <w:tcPr>
            <w:tcW w:w="2260" w:type="dxa"/>
          </w:tcPr>
          <w:p w14:paraId="7AE8A8BE" w14:textId="6CE98A6B" w:rsidR="00DF10CC" w:rsidRPr="002A038F" w:rsidRDefault="0005564D" w:rsidP="001F4096">
            <w:pPr>
              <w:pStyle w:val="Q14Tablevisiblen"/>
              <w:jc w:val="left"/>
              <w:rPr>
                <w:rFonts w:asciiTheme="minorHAnsi" w:hAnsiTheme="minorHAnsi"/>
                <w:sz w:val="20"/>
                <w:szCs w:val="18"/>
                <w:lang w:val="sk-SK"/>
              </w:rPr>
            </w:pPr>
            <w:r>
              <w:rPr>
                <w:rFonts w:asciiTheme="minorHAnsi" w:hAnsiTheme="minorHAnsi"/>
                <w:sz w:val="20"/>
                <w:szCs w:val="18"/>
                <w:lang w:val="sk-SK"/>
              </w:rPr>
              <w:t>M1 = T4 + 1 deň</w:t>
            </w:r>
          </w:p>
        </w:tc>
      </w:tr>
      <w:tr w:rsidR="00DF10CC" w:rsidRPr="002A038F" w14:paraId="6935667F" w14:textId="77777777" w:rsidTr="00A40297">
        <w:trPr>
          <w:trHeight w:val="283"/>
        </w:trPr>
        <w:tc>
          <w:tcPr>
            <w:tcW w:w="6914" w:type="dxa"/>
            <w:shd w:val="clear" w:color="auto" w:fill="DEEAF6" w:themeFill="accent1" w:themeFillTint="33"/>
          </w:tcPr>
          <w:p w14:paraId="3ADF41B3" w14:textId="2BB6A472" w:rsidR="00DF10CC" w:rsidRPr="002A038F" w:rsidRDefault="0005564D" w:rsidP="00D3077B">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Platobný míľnik M1</w:t>
            </w:r>
          </w:p>
        </w:tc>
        <w:tc>
          <w:tcPr>
            <w:tcW w:w="2260" w:type="dxa"/>
          </w:tcPr>
          <w:p w14:paraId="21E855EF" w14:textId="18CF7A74" w:rsidR="00DF10CC" w:rsidRPr="002A038F" w:rsidRDefault="0005564D" w:rsidP="00D3077B">
            <w:pPr>
              <w:pStyle w:val="Q14Tablevisiblen"/>
              <w:tabs>
                <w:tab w:val="left" w:pos="1350"/>
              </w:tabs>
              <w:jc w:val="left"/>
              <w:rPr>
                <w:rFonts w:asciiTheme="minorHAnsi" w:hAnsiTheme="minorHAnsi"/>
                <w:sz w:val="20"/>
                <w:szCs w:val="18"/>
                <w:lang w:val="sk-SK"/>
              </w:rPr>
            </w:pPr>
            <w:r>
              <w:rPr>
                <w:rFonts w:asciiTheme="minorHAnsi" w:hAnsiTheme="minorHAnsi"/>
                <w:sz w:val="20"/>
                <w:szCs w:val="18"/>
                <w:lang w:val="sk-SK"/>
              </w:rPr>
              <w:t>M1</w:t>
            </w:r>
          </w:p>
        </w:tc>
      </w:tr>
      <w:tr w:rsidR="00DF10CC" w:rsidRPr="002A038F" w14:paraId="6A986159" w14:textId="77777777" w:rsidTr="00A40297">
        <w:trPr>
          <w:trHeight w:val="283"/>
        </w:trPr>
        <w:tc>
          <w:tcPr>
            <w:tcW w:w="6914" w:type="dxa"/>
            <w:shd w:val="clear" w:color="auto" w:fill="DEEAF6" w:themeFill="accent1" w:themeFillTint="33"/>
          </w:tcPr>
          <w:p w14:paraId="40AA0A93" w14:textId="6FD44F7E" w:rsidR="00DF10CC" w:rsidRPr="002A038F" w:rsidRDefault="0005564D" w:rsidP="00D3077B">
            <w:pPr>
              <w:pStyle w:val="Q14Tablevisiblen"/>
              <w:ind w:left="59"/>
              <w:jc w:val="left"/>
              <w:rPr>
                <w:rFonts w:asciiTheme="minorHAnsi" w:hAnsiTheme="minorHAnsi"/>
                <w:sz w:val="20"/>
                <w:szCs w:val="18"/>
                <w:lang w:val="sk-SK" w:eastAsia="sk-SK"/>
              </w:rPr>
            </w:pPr>
            <w:r>
              <w:rPr>
                <w:rFonts w:asciiTheme="minorHAnsi" w:hAnsiTheme="minorHAnsi"/>
                <w:sz w:val="20"/>
                <w:szCs w:val="18"/>
                <w:lang w:val="sk-SK" w:eastAsia="sk-SK"/>
              </w:rPr>
              <w:t>Odstránenie vád a nedorobkov</w:t>
            </w:r>
          </w:p>
        </w:tc>
        <w:tc>
          <w:tcPr>
            <w:tcW w:w="2260" w:type="dxa"/>
          </w:tcPr>
          <w:p w14:paraId="56648D95" w14:textId="3EFA7668" w:rsidR="00DF10CC" w:rsidRPr="002A038F" w:rsidRDefault="0005564D" w:rsidP="00D3077B">
            <w:pPr>
              <w:pStyle w:val="Q14Tablevisiblen"/>
              <w:tabs>
                <w:tab w:val="left" w:pos="1350"/>
              </w:tabs>
              <w:jc w:val="left"/>
              <w:rPr>
                <w:rFonts w:asciiTheme="minorHAnsi" w:hAnsiTheme="minorHAnsi"/>
                <w:sz w:val="20"/>
                <w:szCs w:val="18"/>
                <w:lang w:val="sk-SK"/>
              </w:rPr>
            </w:pPr>
            <w:r>
              <w:rPr>
                <w:rFonts w:asciiTheme="minorHAnsi" w:hAnsiTheme="minorHAnsi"/>
                <w:sz w:val="20"/>
                <w:szCs w:val="18"/>
                <w:lang w:val="sk-SK"/>
              </w:rPr>
              <w:t>M2 = M1 + 6 mesiacov</w:t>
            </w:r>
          </w:p>
        </w:tc>
      </w:tr>
    </w:tbl>
    <w:p w14:paraId="34197D8E" w14:textId="359A5335" w:rsidR="00DF10CC" w:rsidRPr="00DA4343" w:rsidRDefault="00DA4343" w:rsidP="00B64A44">
      <w:pPr>
        <w:rPr>
          <w:i/>
          <w:sz w:val="16"/>
        </w:rPr>
      </w:pPr>
      <w:r w:rsidRPr="00DA4343">
        <w:rPr>
          <w:i/>
          <w:sz w:val="16"/>
        </w:rPr>
        <w:t xml:space="preserve">Zdroj: návrh SkyToll </w:t>
      </w:r>
    </w:p>
    <w:p w14:paraId="45898C97" w14:textId="77777777" w:rsidR="00B64A44" w:rsidRPr="00B64A44" w:rsidRDefault="00B64A44" w:rsidP="00B64A44"/>
    <w:p w14:paraId="567714F3" w14:textId="75F46DFF" w:rsidR="00430681" w:rsidRDefault="00430681" w:rsidP="00430681">
      <w:pPr>
        <w:pStyle w:val="Heading3"/>
      </w:pPr>
      <w:bookmarkStart w:id="112" w:name="_Toc87348736"/>
      <w:r>
        <w:t>Riziká projektu</w:t>
      </w:r>
      <w:bookmarkEnd w:id="112"/>
    </w:p>
    <w:p w14:paraId="3D2CCDBE" w14:textId="1E44DF8A" w:rsidR="007B092D" w:rsidRPr="007B092D" w:rsidRDefault="007B092D" w:rsidP="005A7D49">
      <w:pPr>
        <w:pStyle w:val="Heading4"/>
      </w:pPr>
      <w:r>
        <w:t>Projektové riziká</w:t>
      </w:r>
    </w:p>
    <w:p w14:paraId="20287BAB" w14:textId="2B8BEE5B" w:rsidR="0039189E" w:rsidRDefault="0039189E" w:rsidP="0039189E">
      <w:r>
        <w:t>V rámci prípravy implementácie EETS boli identifikované nižšie uvedené riziká projektu.</w:t>
      </w:r>
    </w:p>
    <w:p w14:paraId="5A22EC47" w14:textId="279538B7" w:rsidR="000739C5" w:rsidRDefault="000739C5" w:rsidP="000739C5">
      <w:pPr>
        <w:pStyle w:val="Caption"/>
      </w:pPr>
      <w:r>
        <w:t xml:space="preserve">Tab. </w:t>
      </w:r>
      <w:r>
        <w:fldChar w:fldCharType="begin"/>
      </w:r>
      <w:r>
        <w:instrText xml:space="preserve"> SEQ Tab. \* ARABIC </w:instrText>
      </w:r>
      <w:r>
        <w:fldChar w:fldCharType="separate"/>
      </w:r>
      <w:r w:rsidR="00A86720">
        <w:rPr>
          <w:noProof/>
        </w:rPr>
        <w:t>22</w:t>
      </w:r>
      <w:r>
        <w:fldChar w:fldCharType="end"/>
      </w:r>
      <w:r>
        <w:t xml:space="preserve"> - Rizika projektu implementácie EETS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530"/>
        <w:gridCol w:w="5644"/>
      </w:tblGrid>
      <w:tr w:rsidR="000739C5" w:rsidRPr="00A40297" w14:paraId="25B89FA6" w14:textId="77777777" w:rsidTr="00A40297">
        <w:trPr>
          <w:trHeight w:val="509"/>
          <w:tblHeader/>
        </w:trPr>
        <w:tc>
          <w:tcPr>
            <w:tcW w:w="3530" w:type="dxa"/>
            <w:shd w:val="clear" w:color="auto" w:fill="BDD6EE" w:themeFill="accent1" w:themeFillTint="66"/>
            <w:vAlign w:val="center"/>
          </w:tcPr>
          <w:p w14:paraId="23C641AC" w14:textId="69C742DB" w:rsidR="0039189E" w:rsidRPr="00A40297" w:rsidRDefault="0039189E" w:rsidP="0008520D">
            <w:pPr>
              <w:pStyle w:val="Q14Tablevisiblen"/>
              <w:ind w:left="59"/>
              <w:jc w:val="left"/>
              <w:rPr>
                <w:rFonts w:asciiTheme="minorHAnsi" w:hAnsiTheme="minorHAnsi"/>
                <w:sz w:val="20"/>
                <w:szCs w:val="18"/>
                <w:lang w:val="sk-SK"/>
              </w:rPr>
            </w:pPr>
            <w:r w:rsidRPr="00A40297">
              <w:rPr>
                <w:rFonts w:asciiTheme="minorHAnsi" w:hAnsiTheme="minorHAnsi"/>
                <w:sz w:val="20"/>
                <w:szCs w:val="18"/>
                <w:lang w:val="sk-SK"/>
              </w:rPr>
              <w:t>Riziko</w:t>
            </w:r>
          </w:p>
        </w:tc>
        <w:tc>
          <w:tcPr>
            <w:tcW w:w="5644" w:type="dxa"/>
            <w:shd w:val="clear" w:color="auto" w:fill="BDD6EE" w:themeFill="accent1" w:themeFillTint="66"/>
            <w:vAlign w:val="center"/>
          </w:tcPr>
          <w:p w14:paraId="07D23144" w14:textId="783A1B56" w:rsidR="0039189E" w:rsidRPr="00A40297" w:rsidRDefault="0039189E" w:rsidP="00706B1B">
            <w:pPr>
              <w:pStyle w:val="Q14Tablevisiblen"/>
              <w:jc w:val="left"/>
              <w:rPr>
                <w:rFonts w:asciiTheme="minorHAnsi" w:hAnsiTheme="minorHAnsi"/>
                <w:sz w:val="20"/>
                <w:szCs w:val="18"/>
                <w:lang w:val="sk-SK"/>
              </w:rPr>
            </w:pPr>
            <w:r w:rsidRPr="00A40297">
              <w:rPr>
                <w:rFonts w:asciiTheme="minorHAnsi" w:hAnsiTheme="minorHAnsi"/>
                <w:sz w:val="20"/>
                <w:szCs w:val="18"/>
                <w:lang w:val="sk-SK"/>
              </w:rPr>
              <w:t>Dopad</w:t>
            </w:r>
            <w:r w:rsidR="00706B1B" w:rsidRPr="00A40297">
              <w:rPr>
                <w:rFonts w:asciiTheme="minorHAnsi" w:hAnsiTheme="minorHAnsi"/>
                <w:sz w:val="20"/>
                <w:szCs w:val="18"/>
                <w:lang w:val="sk-SK"/>
              </w:rPr>
              <w:t>y</w:t>
            </w:r>
            <w:r w:rsidRPr="00A40297">
              <w:rPr>
                <w:rFonts w:asciiTheme="minorHAnsi" w:hAnsiTheme="minorHAnsi"/>
                <w:sz w:val="20"/>
                <w:szCs w:val="18"/>
                <w:lang w:val="sk-SK"/>
              </w:rPr>
              <w:t xml:space="preserve"> rizika</w:t>
            </w:r>
          </w:p>
        </w:tc>
      </w:tr>
      <w:tr w:rsidR="000739C5" w:rsidRPr="00A40297" w14:paraId="0A5D520E" w14:textId="77777777" w:rsidTr="000739C5">
        <w:trPr>
          <w:trHeight w:val="283"/>
        </w:trPr>
        <w:tc>
          <w:tcPr>
            <w:tcW w:w="3530" w:type="dxa"/>
            <w:shd w:val="clear" w:color="auto" w:fill="DEEAF6" w:themeFill="accent1" w:themeFillTint="33"/>
          </w:tcPr>
          <w:p w14:paraId="36D161A5" w14:textId="404C801A" w:rsidR="0039189E" w:rsidRPr="00A40297" w:rsidRDefault="0039189E" w:rsidP="00847C3A">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Oneskorenie dokončenia realizácie projektu</w:t>
            </w:r>
          </w:p>
        </w:tc>
        <w:tc>
          <w:tcPr>
            <w:tcW w:w="5644" w:type="dxa"/>
          </w:tcPr>
          <w:p w14:paraId="5A04A392" w14:textId="77777777" w:rsidR="0039189E" w:rsidRPr="00A40297" w:rsidRDefault="0039189E" w:rsidP="0008520D">
            <w:pPr>
              <w:pStyle w:val="Q14Tablevisiblen"/>
              <w:jc w:val="left"/>
              <w:rPr>
                <w:rFonts w:asciiTheme="minorHAnsi" w:hAnsiTheme="minorHAnsi"/>
                <w:sz w:val="20"/>
                <w:szCs w:val="18"/>
                <w:lang w:val="sk-SK" w:eastAsia="sk-SK"/>
              </w:rPr>
            </w:pPr>
            <w:r w:rsidRPr="00A40297">
              <w:rPr>
                <w:rFonts w:asciiTheme="minorHAnsi" w:hAnsiTheme="minorHAnsi"/>
                <w:sz w:val="20"/>
                <w:szCs w:val="18"/>
                <w:lang w:val="sk-SK" w:eastAsia="sk-SK"/>
              </w:rPr>
              <w:t>Oneskorené začatie prevádzky EETS</w:t>
            </w:r>
          </w:p>
          <w:p w14:paraId="04CFE084" w14:textId="0496B702" w:rsidR="0039189E" w:rsidRPr="00A40297" w:rsidRDefault="0039189E" w:rsidP="0039189E">
            <w:pPr>
              <w:rPr>
                <w:rFonts w:asciiTheme="minorHAnsi" w:hAnsiTheme="minorHAnsi"/>
                <w:szCs w:val="18"/>
                <w:lang w:eastAsia="sk-SK"/>
              </w:rPr>
            </w:pPr>
            <w:r w:rsidRPr="00A40297">
              <w:rPr>
                <w:rFonts w:asciiTheme="minorHAnsi" w:hAnsiTheme="minorHAnsi"/>
                <w:szCs w:val="18"/>
                <w:lang w:eastAsia="sk-SK"/>
              </w:rPr>
              <w:t xml:space="preserve">Zníženie </w:t>
            </w:r>
            <w:r w:rsidR="00706B1B" w:rsidRPr="00A40297">
              <w:rPr>
                <w:rFonts w:asciiTheme="minorHAnsi" w:hAnsiTheme="minorHAnsi"/>
                <w:szCs w:val="18"/>
                <w:lang w:eastAsia="sk-SK"/>
              </w:rPr>
              <w:t xml:space="preserve">úspory nákladov </w:t>
            </w:r>
            <w:r w:rsidR="00B324B6">
              <w:rPr>
                <w:rFonts w:asciiTheme="minorHAnsi" w:hAnsiTheme="minorHAnsi"/>
                <w:szCs w:val="18"/>
                <w:lang w:eastAsia="sk-SK"/>
              </w:rPr>
              <w:t>Správc</w:t>
            </w:r>
            <w:r w:rsidR="00706B1B" w:rsidRPr="00A40297">
              <w:rPr>
                <w:rFonts w:asciiTheme="minorHAnsi" w:hAnsiTheme="minorHAnsi"/>
                <w:szCs w:val="18"/>
                <w:lang w:eastAsia="sk-SK"/>
              </w:rPr>
              <w:t xml:space="preserve">u výberu mýta v dôsledku zníženia </w:t>
            </w:r>
            <w:r w:rsidRPr="00A40297">
              <w:rPr>
                <w:rFonts w:asciiTheme="minorHAnsi" w:hAnsiTheme="minorHAnsi"/>
                <w:szCs w:val="18"/>
                <w:lang w:eastAsia="sk-SK"/>
              </w:rPr>
              <w:t>celkovej sumy mýta vybra</w:t>
            </w:r>
            <w:r w:rsidR="00706B1B" w:rsidRPr="00A40297">
              <w:rPr>
                <w:rFonts w:asciiTheme="minorHAnsi" w:hAnsiTheme="minorHAnsi"/>
                <w:szCs w:val="18"/>
                <w:lang w:eastAsia="sk-SK"/>
              </w:rPr>
              <w:t>ného prostredníctvom EETS</w:t>
            </w:r>
          </w:p>
          <w:p w14:paraId="199BD594" w14:textId="599D7F4A" w:rsidR="00706B1B" w:rsidRPr="00A40297" w:rsidRDefault="00706B1B" w:rsidP="0039189E">
            <w:pPr>
              <w:rPr>
                <w:rFonts w:asciiTheme="minorHAnsi" w:hAnsiTheme="minorHAnsi"/>
                <w:szCs w:val="18"/>
                <w:lang w:eastAsia="sk-SK"/>
              </w:rPr>
            </w:pPr>
            <w:r w:rsidRPr="00A40297">
              <w:rPr>
                <w:rFonts w:asciiTheme="minorHAnsi" w:hAnsiTheme="minorHAnsi"/>
                <w:szCs w:val="18"/>
                <w:lang w:eastAsia="sk-SK"/>
              </w:rPr>
              <w:t>Sťažnosti poskytovateľov EETS</w:t>
            </w:r>
          </w:p>
        </w:tc>
      </w:tr>
      <w:tr w:rsidR="000739C5" w:rsidRPr="00A40297" w14:paraId="1EC01199" w14:textId="77777777" w:rsidTr="000739C5">
        <w:trPr>
          <w:trHeight w:val="283"/>
        </w:trPr>
        <w:tc>
          <w:tcPr>
            <w:tcW w:w="3530" w:type="dxa"/>
            <w:shd w:val="clear" w:color="auto" w:fill="DEEAF6" w:themeFill="accent1" w:themeFillTint="33"/>
          </w:tcPr>
          <w:p w14:paraId="39219AE9" w14:textId="29EC3BE1" w:rsidR="0039189E" w:rsidRPr="00A40297" w:rsidRDefault="00706B1B" w:rsidP="00706B1B">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Technické problémy a kvalita spracovania dát EETS v EMS</w:t>
            </w:r>
          </w:p>
        </w:tc>
        <w:tc>
          <w:tcPr>
            <w:tcW w:w="5644" w:type="dxa"/>
          </w:tcPr>
          <w:p w14:paraId="0C8BEC8C" w14:textId="24F7755C" w:rsidR="0039189E" w:rsidRPr="00A40297" w:rsidRDefault="00706B1B" w:rsidP="00706B1B">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Finančná strata </w:t>
            </w:r>
            <w:r w:rsidR="00B324B6">
              <w:rPr>
                <w:rFonts w:asciiTheme="minorHAnsi" w:hAnsiTheme="minorHAnsi"/>
                <w:sz w:val="20"/>
                <w:szCs w:val="18"/>
                <w:lang w:val="sk-SK"/>
              </w:rPr>
              <w:t>Správc</w:t>
            </w:r>
            <w:r w:rsidRPr="00A40297">
              <w:rPr>
                <w:rFonts w:asciiTheme="minorHAnsi" w:hAnsiTheme="minorHAnsi"/>
                <w:sz w:val="20"/>
                <w:szCs w:val="18"/>
                <w:lang w:val="sk-SK"/>
              </w:rPr>
              <w:t>u výberu mýta v dôsledku zníženia celkovej efektívnosti výberu mýta</w:t>
            </w:r>
          </w:p>
          <w:p w14:paraId="59409C7B" w14:textId="3DF1027C" w:rsidR="00706B1B" w:rsidRPr="00A40297" w:rsidRDefault="00706B1B" w:rsidP="00706B1B">
            <w:pPr>
              <w:rPr>
                <w:rFonts w:asciiTheme="minorHAnsi" w:hAnsiTheme="minorHAnsi"/>
                <w:szCs w:val="18"/>
                <w:lang w:eastAsia="en-US"/>
              </w:rPr>
            </w:pPr>
            <w:r w:rsidRPr="00A40297">
              <w:rPr>
                <w:rFonts w:asciiTheme="minorHAnsi" w:hAnsiTheme="minorHAnsi"/>
                <w:szCs w:val="18"/>
                <w:lang w:eastAsia="sk-SK"/>
              </w:rPr>
              <w:t>Sťažnosti poskytovateľov EETS</w:t>
            </w:r>
          </w:p>
        </w:tc>
      </w:tr>
      <w:tr w:rsidR="000739C5" w:rsidRPr="00A40297" w14:paraId="391140E4" w14:textId="77777777" w:rsidTr="000739C5">
        <w:trPr>
          <w:trHeight w:val="283"/>
        </w:trPr>
        <w:tc>
          <w:tcPr>
            <w:tcW w:w="3530" w:type="dxa"/>
            <w:shd w:val="clear" w:color="auto" w:fill="DEEAF6" w:themeFill="accent1" w:themeFillTint="33"/>
          </w:tcPr>
          <w:p w14:paraId="496FD82C" w14:textId="41120C7F" w:rsidR="0039189E" w:rsidRPr="00A40297" w:rsidRDefault="00706B1B" w:rsidP="0008520D">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lastRenderedPageBreak/>
              <w:t>Kvalita dát poskytovateľov  EETS</w:t>
            </w:r>
          </w:p>
        </w:tc>
        <w:tc>
          <w:tcPr>
            <w:tcW w:w="5644" w:type="dxa"/>
          </w:tcPr>
          <w:p w14:paraId="62C4F5A9" w14:textId="445E15A6" w:rsidR="0039189E" w:rsidRPr="00A40297" w:rsidRDefault="00706B1B" w:rsidP="00706B1B">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Finančná strata </w:t>
            </w:r>
            <w:r w:rsidR="00B324B6">
              <w:rPr>
                <w:rFonts w:asciiTheme="minorHAnsi" w:hAnsiTheme="minorHAnsi"/>
                <w:sz w:val="20"/>
                <w:szCs w:val="18"/>
                <w:lang w:val="sk-SK"/>
              </w:rPr>
              <w:t>Správc</w:t>
            </w:r>
            <w:r w:rsidRPr="00A40297">
              <w:rPr>
                <w:rFonts w:asciiTheme="minorHAnsi" w:hAnsiTheme="minorHAnsi"/>
                <w:sz w:val="20"/>
                <w:szCs w:val="18"/>
                <w:lang w:val="sk-SK"/>
              </w:rPr>
              <w:t>u výberu mýta v dôsledku zníženia parciálnej efektívnosti výberu mýta daného poskytovateľa EETS</w:t>
            </w:r>
          </w:p>
        </w:tc>
      </w:tr>
      <w:tr w:rsidR="000739C5" w:rsidRPr="00A40297" w14:paraId="00500544" w14:textId="77777777" w:rsidTr="000739C5">
        <w:trPr>
          <w:trHeight w:val="283"/>
        </w:trPr>
        <w:tc>
          <w:tcPr>
            <w:tcW w:w="3530" w:type="dxa"/>
            <w:shd w:val="clear" w:color="auto" w:fill="DEEAF6" w:themeFill="accent1" w:themeFillTint="33"/>
          </w:tcPr>
          <w:p w14:paraId="65F34544" w14:textId="29C6EF79" w:rsidR="0039189E" w:rsidRPr="00A40297" w:rsidRDefault="00706B1B" w:rsidP="0008520D">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Obchádzanie / zneužívanie systému EETS</w:t>
            </w:r>
          </w:p>
        </w:tc>
        <w:tc>
          <w:tcPr>
            <w:tcW w:w="5644" w:type="dxa"/>
          </w:tcPr>
          <w:p w14:paraId="0716CEE1" w14:textId="6871693A" w:rsidR="00706B1B" w:rsidRPr="00A40297" w:rsidRDefault="00706B1B" w:rsidP="00706B1B">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Finančná strata </w:t>
            </w:r>
            <w:r w:rsidR="00B324B6">
              <w:rPr>
                <w:rFonts w:asciiTheme="minorHAnsi" w:hAnsiTheme="minorHAnsi"/>
                <w:sz w:val="20"/>
                <w:szCs w:val="18"/>
                <w:lang w:val="sk-SK"/>
              </w:rPr>
              <w:t>Správc</w:t>
            </w:r>
            <w:r w:rsidRPr="00A40297">
              <w:rPr>
                <w:rFonts w:asciiTheme="minorHAnsi" w:hAnsiTheme="minorHAnsi"/>
                <w:sz w:val="20"/>
                <w:szCs w:val="18"/>
                <w:lang w:val="sk-SK"/>
              </w:rPr>
              <w:t>u výberu mýta v dôsledku zníženia celkovej efektívnosti výberu mýta</w:t>
            </w:r>
          </w:p>
          <w:p w14:paraId="40B524C2" w14:textId="61DED3CC" w:rsidR="0039189E" w:rsidRPr="00A40297" w:rsidRDefault="00706B1B" w:rsidP="0008520D">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Zvýšené náklady </w:t>
            </w:r>
            <w:r w:rsidR="00B324B6">
              <w:rPr>
                <w:rFonts w:asciiTheme="minorHAnsi" w:hAnsiTheme="minorHAnsi"/>
                <w:sz w:val="20"/>
                <w:szCs w:val="18"/>
                <w:lang w:val="sk-SK"/>
              </w:rPr>
              <w:t>Správc</w:t>
            </w:r>
            <w:r w:rsidRPr="00A40297">
              <w:rPr>
                <w:rFonts w:asciiTheme="minorHAnsi" w:hAnsiTheme="minorHAnsi"/>
                <w:sz w:val="20"/>
                <w:szCs w:val="18"/>
                <w:lang w:val="sk-SK"/>
              </w:rPr>
              <w:t>u výberu mýta na kontrolu a vymáhanie</w:t>
            </w:r>
          </w:p>
        </w:tc>
      </w:tr>
      <w:tr w:rsidR="000739C5" w:rsidRPr="00A40297" w14:paraId="406C40EF" w14:textId="77777777" w:rsidTr="000739C5">
        <w:trPr>
          <w:trHeight w:val="283"/>
        </w:trPr>
        <w:tc>
          <w:tcPr>
            <w:tcW w:w="3530" w:type="dxa"/>
            <w:shd w:val="clear" w:color="auto" w:fill="DEEAF6" w:themeFill="accent1" w:themeFillTint="33"/>
          </w:tcPr>
          <w:p w14:paraId="18E6AC91" w14:textId="7DE8B74B" w:rsidR="0039189E" w:rsidRPr="00A40297" w:rsidRDefault="00706B1B" w:rsidP="0008520D">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Nízka atraktivita zmluvných podmienok EETS a odmeny pre poskytovateľov EETS</w:t>
            </w:r>
          </w:p>
        </w:tc>
        <w:tc>
          <w:tcPr>
            <w:tcW w:w="5644" w:type="dxa"/>
          </w:tcPr>
          <w:p w14:paraId="6476E641" w14:textId="143F60AF" w:rsidR="0039189E" w:rsidRPr="00A40297" w:rsidRDefault="00706B1B" w:rsidP="000739C5">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Nenaplnenie očakávaného podielu EETS na výbere mýta </w:t>
            </w:r>
            <w:r w:rsidR="000739C5" w:rsidRPr="00A40297">
              <w:rPr>
                <w:rFonts w:asciiTheme="minorHAnsi" w:hAnsiTheme="minorHAnsi"/>
                <w:sz w:val="20"/>
                <w:szCs w:val="18"/>
                <w:lang w:val="sk-SK"/>
              </w:rPr>
              <w:t>a</w:t>
            </w:r>
            <w:r w:rsidRPr="00A40297">
              <w:rPr>
                <w:rFonts w:asciiTheme="minorHAnsi" w:hAnsiTheme="minorHAnsi"/>
                <w:sz w:val="20"/>
                <w:szCs w:val="18"/>
                <w:lang w:val="sk-SK"/>
              </w:rPr>
              <w:t xml:space="preserve"> predlženie doby návratnosti nákladov projektu</w:t>
            </w:r>
          </w:p>
        </w:tc>
      </w:tr>
      <w:tr w:rsidR="000739C5" w:rsidRPr="00A40297" w14:paraId="194E17B5" w14:textId="77777777" w:rsidTr="000739C5">
        <w:trPr>
          <w:trHeight w:val="283"/>
        </w:trPr>
        <w:tc>
          <w:tcPr>
            <w:tcW w:w="3530" w:type="dxa"/>
            <w:shd w:val="clear" w:color="auto" w:fill="DEEAF6" w:themeFill="accent1" w:themeFillTint="33"/>
          </w:tcPr>
          <w:p w14:paraId="1403DD67" w14:textId="4483D8B0" w:rsidR="0039189E" w:rsidRPr="00A40297" w:rsidRDefault="00706B1B" w:rsidP="00706B1B">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Nedostatočná kontrola poskytovateľov EETS</w:t>
            </w:r>
          </w:p>
        </w:tc>
        <w:tc>
          <w:tcPr>
            <w:tcW w:w="5644" w:type="dxa"/>
          </w:tcPr>
          <w:p w14:paraId="73518451" w14:textId="3C70315F" w:rsidR="0039189E" w:rsidRPr="00A40297" w:rsidRDefault="00706B1B" w:rsidP="0008520D">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Finančná strata </w:t>
            </w:r>
            <w:r w:rsidR="00B324B6">
              <w:rPr>
                <w:rFonts w:asciiTheme="minorHAnsi" w:hAnsiTheme="minorHAnsi"/>
                <w:sz w:val="20"/>
                <w:szCs w:val="18"/>
                <w:lang w:val="sk-SK"/>
              </w:rPr>
              <w:t>Správc</w:t>
            </w:r>
            <w:r w:rsidRPr="00A40297">
              <w:rPr>
                <w:rFonts w:asciiTheme="minorHAnsi" w:hAnsiTheme="minorHAnsi"/>
                <w:sz w:val="20"/>
                <w:szCs w:val="18"/>
                <w:lang w:val="sk-SK"/>
              </w:rPr>
              <w:t>u výberu mýta v </w:t>
            </w:r>
            <w:r w:rsidR="000739C5" w:rsidRPr="00A40297">
              <w:rPr>
                <w:rFonts w:asciiTheme="minorHAnsi" w:hAnsiTheme="minorHAnsi"/>
                <w:sz w:val="20"/>
                <w:szCs w:val="18"/>
                <w:lang w:val="sk-SK"/>
              </w:rPr>
              <w:t>dôsledku</w:t>
            </w:r>
            <w:r w:rsidRPr="00A40297">
              <w:rPr>
                <w:rFonts w:asciiTheme="minorHAnsi" w:hAnsiTheme="minorHAnsi"/>
                <w:sz w:val="20"/>
                <w:szCs w:val="18"/>
                <w:lang w:val="sk-SK"/>
              </w:rPr>
              <w:t xml:space="preserve"> </w:t>
            </w:r>
            <w:r w:rsidR="000739C5" w:rsidRPr="00A40297">
              <w:rPr>
                <w:rFonts w:asciiTheme="minorHAnsi" w:hAnsiTheme="minorHAnsi"/>
                <w:sz w:val="20"/>
                <w:szCs w:val="18"/>
                <w:lang w:val="sk-SK"/>
              </w:rPr>
              <w:t>zníženia parciálnej efektívnosti výberu mýta daného poskytovateľa EETS bez možnosti uplatniť sankcie a náhradu škody</w:t>
            </w:r>
          </w:p>
        </w:tc>
      </w:tr>
      <w:tr w:rsidR="000739C5" w:rsidRPr="00A40297" w14:paraId="3C98C9E7" w14:textId="77777777" w:rsidTr="000739C5">
        <w:trPr>
          <w:trHeight w:val="283"/>
        </w:trPr>
        <w:tc>
          <w:tcPr>
            <w:tcW w:w="3530" w:type="dxa"/>
            <w:shd w:val="clear" w:color="auto" w:fill="DEEAF6" w:themeFill="accent1" w:themeFillTint="33"/>
          </w:tcPr>
          <w:p w14:paraId="7E39068E" w14:textId="0A5FD853" w:rsidR="000739C5" w:rsidRPr="00A40297" w:rsidRDefault="000739C5" w:rsidP="00706B1B">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Problémy s posudzovaním vhodnosti prvkov interoperability na použitie</w:t>
            </w:r>
          </w:p>
        </w:tc>
        <w:tc>
          <w:tcPr>
            <w:tcW w:w="5644" w:type="dxa"/>
          </w:tcPr>
          <w:p w14:paraId="6CBD7E07" w14:textId="799D7B17" w:rsidR="000739C5" w:rsidRPr="00A40297" w:rsidRDefault="000739C5" w:rsidP="000739C5">
            <w:pPr>
              <w:pStyle w:val="Q14Tablevisiblen"/>
              <w:jc w:val="left"/>
              <w:rPr>
                <w:rFonts w:asciiTheme="minorHAnsi" w:hAnsiTheme="minorHAnsi"/>
                <w:sz w:val="20"/>
                <w:szCs w:val="18"/>
                <w:lang w:val="sk-SK"/>
              </w:rPr>
            </w:pPr>
            <w:r w:rsidRPr="00A40297">
              <w:rPr>
                <w:rFonts w:asciiTheme="minorHAnsi" w:hAnsiTheme="minorHAnsi"/>
                <w:sz w:val="20"/>
                <w:szCs w:val="18"/>
                <w:lang w:val="sk-SK"/>
              </w:rPr>
              <w:t>Vysoký podiel neúspešných záujemcov o poskytovanie EETS smerujúci k nenaplneniu očakávaného podielu EETS na výbere mýta a predlženiu doby návratnosti nákladov projektu</w:t>
            </w:r>
          </w:p>
        </w:tc>
      </w:tr>
      <w:tr w:rsidR="000739C5" w:rsidRPr="00A40297" w14:paraId="795A2C1A" w14:textId="77777777" w:rsidTr="000739C5">
        <w:trPr>
          <w:trHeight w:val="283"/>
        </w:trPr>
        <w:tc>
          <w:tcPr>
            <w:tcW w:w="3530" w:type="dxa"/>
            <w:shd w:val="clear" w:color="auto" w:fill="DEEAF6" w:themeFill="accent1" w:themeFillTint="33"/>
          </w:tcPr>
          <w:p w14:paraId="169A6D72" w14:textId="5831F0AB" w:rsidR="000739C5" w:rsidRPr="00A40297" w:rsidRDefault="000739C5" w:rsidP="00706B1B">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Problémy s integráciou rozhraní poskytovateľa EETS a OBE</w:t>
            </w:r>
          </w:p>
        </w:tc>
        <w:tc>
          <w:tcPr>
            <w:tcW w:w="5644" w:type="dxa"/>
          </w:tcPr>
          <w:p w14:paraId="6ACC94C2" w14:textId="6B3264A4" w:rsidR="000739C5" w:rsidRPr="00A40297" w:rsidRDefault="000739C5" w:rsidP="000739C5">
            <w:pPr>
              <w:pStyle w:val="Q14Tablevisiblen"/>
              <w:jc w:val="left"/>
              <w:rPr>
                <w:rFonts w:asciiTheme="minorHAnsi" w:hAnsiTheme="minorHAnsi"/>
                <w:sz w:val="20"/>
                <w:szCs w:val="18"/>
                <w:lang w:val="sk-SK"/>
              </w:rPr>
            </w:pPr>
            <w:r w:rsidRPr="00A40297">
              <w:rPr>
                <w:rFonts w:asciiTheme="minorHAnsi" w:hAnsiTheme="minorHAnsi"/>
                <w:sz w:val="20"/>
                <w:szCs w:val="18"/>
                <w:lang w:val="sk-SK"/>
              </w:rPr>
              <w:t>Nenaplnenie očakávaného podielu EETS na výbere mýta a predlženie doby návratnosti nákladov projektu</w:t>
            </w:r>
          </w:p>
          <w:p w14:paraId="074BE1CA" w14:textId="3722D172" w:rsidR="000739C5" w:rsidRPr="00A40297" w:rsidRDefault="00397B65" w:rsidP="000739C5">
            <w:pPr>
              <w:pStyle w:val="Q14Tablevisiblen"/>
              <w:jc w:val="left"/>
              <w:rPr>
                <w:rFonts w:asciiTheme="minorHAnsi" w:hAnsiTheme="minorHAnsi"/>
                <w:sz w:val="20"/>
                <w:szCs w:val="18"/>
                <w:lang w:val="sk-SK"/>
              </w:rPr>
            </w:pPr>
            <w:r w:rsidRPr="00A40297">
              <w:rPr>
                <w:rFonts w:asciiTheme="minorHAnsi" w:hAnsiTheme="minorHAnsi"/>
                <w:sz w:val="20"/>
                <w:szCs w:val="18"/>
                <w:lang w:val="sk-SK"/>
              </w:rPr>
              <w:t xml:space="preserve">Zvýšené  </w:t>
            </w:r>
            <w:r w:rsidR="000739C5" w:rsidRPr="00A40297">
              <w:rPr>
                <w:rFonts w:asciiTheme="minorHAnsi" w:hAnsiTheme="minorHAnsi"/>
                <w:sz w:val="20"/>
                <w:szCs w:val="18"/>
                <w:lang w:val="sk-SK"/>
              </w:rPr>
              <w:t xml:space="preserve">náklady </w:t>
            </w:r>
            <w:r w:rsidR="00B324B6">
              <w:rPr>
                <w:rFonts w:asciiTheme="minorHAnsi" w:hAnsiTheme="minorHAnsi"/>
                <w:sz w:val="20"/>
                <w:szCs w:val="18"/>
                <w:lang w:val="sk-SK"/>
              </w:rPr>
              <w:t>Správc</w:t>
            </w:r>
            <w:r w:rsidR="000739C5" w:rsidRPr="00A40297">
              <w:rPr>
                <w:rFonts w:asciiTheme="minorHAnsi" w:hAnsiTheme="minorHAnsi"/>
                <w:sz w:val="20"/>
                <w:szCs w:val="18"/>
                <w:lang w:val="sk-SK"/>
              </w:rPr>
              <w:t>u výberu mýta na úpravu rozhraní a procesov mýtneho systému</w:t>
            </w:r>
          </w:p>
          <w:p w14:paraId="3D657C31" w14:textId="4573D315" w:rsidR="000739C5" w:rsidRPr="00A40297" w:rsidRDefault="000739C5" w:rsidP="000739C5">
            <w:pPr>
              <w:pStyle w:val="Q14Tablevisiblen"/>
              <w:jc w:val="left"/>
              <w:rPr>
                <w:rFonts w:asciiTheme="minorHAnsi" w:hAnsiTheme="minorHAnsi"/>
                <w:sz w:val="20"/>
                <w:szCs w:val="18"/>
                <w:lang w:val="sk-SK"/>
              </w:rPr>
            </w:pPr>
            <w:r w:rsidRPr="00A40297">
              <w:rPr>
                <w:rFonts w:asciiTheme="minorHAnsi" w:hAnsiTheme="minorHAnsi"/>
                <w:sz w:val="20"/>
                <w:szCs w:val="18"/>
                <w:lang w:val="sk-SK" w:eastAsia="sk-SK"/>
              </w:rPr>
              <w:t>Sťažnosti poskytovateľov EETS</w:t>
            </w:r>
          </w:p>
        </w:tc>
      </w:tr>
      <w:tr w:rsidR="000739C5" w:rsidRPr="00A40297" w14:paraId="4922CE0C" w14:textId="77777777" w:rsidTr="000739C5">
        <w:trPr>
          <w:trHeight w:val="283"/>
        </w:trPr>
        <w:tc>
          <w:tcPr>
            <w:tcW w:w="3530" w:type="dxa"/>
            <w:shd w:val="clear" w:color="auto" w:fill="DEEAF6" w:themeFill="accent1" w:themeFillTint="33"/>
          </w:tcPr>
          <w:p w14:paraId="17CF6DD6" w14:textId="0E384DFE" w:rsidR="000739C5" w:rsidRPr="00A40297" w:rsidRDefault="000739C5" w:rsidP="00706B1B">
            <w:pPr>
              <w:pStyle w:val="Q14Tablevisiblen"/>
              <w:ind w:left="59"/>
              <w:jc w:val="left"/>
              <w:rPr>
                <w:rFonts w:asciiTheme="minorHAnsi" w:hAnsiTheme="minorHAnsi"/>
                <w:sz w:val="20"/>
                <w:szCs w:val="18"/>
                <w:lang w:val="sk-SK" w:eastAsia="sk-SK"/>
              </w:rPr>
            </w:pPr>
            <w:r w:rsidRPr="00A40297">
              <w:rPr>
                <w:rFonts w:asciiTheme="minorHAnsi" w:hAnsiTheme="minorHAnsi"/>
                <w:sz w:val="20"/>
                <w:szCs w:val="18"/>
                <w:lang w:val="sk-SK" w:eastAsia="sk-SK"/>
              </w:rPr>
              <w:t xml:space="preserve">Kredibilita poskytovateľa EETS </w:t>
            </w:r>
          </w:p>
        </w:tc>
        <w:tc>
          <w:tcPr>
            <w:tcW w:w="5644" w:type="dxa"/>
          </w:tcPr>
          <w:p w14:paraId="0BB56650" w14:textId="78D2CFD3" w:rsidR="000739C5" w:rsidRPr="00A40297" w:rsidRDefault="000739C5" w:rsidP="000739C5">
            <w:pPr>
              <w:pStyle w:val="Q14Tablevisiblen"/>
              <w:jc w:val="left"/>
              <w:rPr>
                <w:rFonts w:asciiTheme="minorHAnsi" w:hAnsiTheme="minorHAnsi"/>
                <w:sz w:val="20"/>
                <w:szCs w:val="18"/>
                <w:lang w:val="sk-SK"/>
              </w:rPr>
            </w:pPr>
            <w:r w:rsidRPr="00A40297">
              <w:rPr>
                <w:rFonts w:asciiTheme="minorHAnsi" w:hAnsiTheme="minorHAnsi"/>
                <w:sz w:val="20"/>
                <w:szCs w:val="18"/>
                <w:lang w:val="sk-SK"/>
              </w:rPr>
              <w:t>Vznik záväzkov poskytovateľa EETS, ktorých splatnosť uplynula a súvisiace náklady na právne vymáhanie</w:t>
            </w:r>
          </w:p>
        </w:tc>
      </w:tr>
    </w:tbl>
    <w:p w14:paraId="1D59CF85" w14:textId="07959128" w:rsidR="0039189E" w:rsidRDefault="0039189E" w:rsidP="0039189E"/>
    <w:p w14:paraId="54B3E756" w14:textId="05067CFB" w:rsidR="007B092D" w:rsidRDefault="007B092D" w:rsidP="005A7D49">
      <w:pPr>
        <w:pStyle w:val="Heading4"/>
      </w:pPr>
      <w:r>
        <w:t>Riziká plynúce z neuskutočnenia projektu</w:t>
      </w:r>
    </w:p>
    <w:p w14:paraId="14BEB9FE" w14:textId="34FB9D59" w:rsidR="007B092D" w:rsidRDefault="007B092D" w:rsidP="007B092D">
      <w:r>
        <w:t>V súvislosti s nezabezpečením EETS boli identifikované nižšie uvedené riziká.</w:t>
      </w:r>
    </w:p>
    <w:p w14:paraId="73F20064" w14:textId="46D1F037" w:rsidR="007B092D" w:rsidRDefault="007B092D" w:rsidP="007B092D">
      <w:pPr>
        <w:pStyle w:val="Caption"/>
      </w:pPr>
      <w:r>
        <w:t xml:space="preserve">Tab. </w:t>
      </w:r>
      <w:r>
        <w:fldChar w:fldCharType="begin"/>
      </w:r>
      <w:r>
        <w:instrText xml:space="preserve"> SEQ Tab. \* ARABIC </w:instrText>
      </w:r>
      <w:r>
        <w:fldChar w:fldCharType="separate"/>
      </w:r>
      <w:r w:rsidR="00A86720">
        <w:rPr>
          <w:noProof/>
        </w:rPr>
        <w:t>23</w:t>
      </w:r>
      <w:r>
        <w:fldChar w:fldCharType="end"/>
      </w:r>
      <w:r>
        <w:t xml:space="preserve"> - Rizika </w:t>
      </w:r>
      <w:r w:rsidRPr="007B092D">
        <w:t xml:space="preserve">plynúce z neuskutočnenia projektu </w:t>
      </w:r>
      <w:r>
        <w:t>EETS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530"/>
        <w:gridCol w:w="5644"/>
      </w:tblGrid>
      <w:tr w:rsidR="007B092D" w:rsidRPr="000739C5" w14:paraId="7AE50C07" w14:textId="77777777" w:rsidTr="00CD5120">
        <w:trPr>
          <w:trHeight w:val="509"/>
        </w:trPr>
        <w:tc>
          <w:tcPr>
            <w:tcW w:w="3530" w:type="dxa"/>
            <w:shd w:val="clear" w:color="auto" w:fill="BDD6EE" w:themeFill="accent1" w:themeFillTint="66"/>
            <w:vAlign w:val="center"/>
          </w:tcPr>
          <w:p w14:paraId="2605E23C" w14:textId="77777777" w:rsidR="007B092D" w:rsidRPr="000739C5" w:rsidRDefault="007B092D" w:rsidP="00CD5120">
            <w:pPr>
              <w:pStyle w:val="Q14Tablevisiblen"/>
              <w:ind w:left="59"/>
              <w:jc w:val="left"/>
              <w:rPr>
                <w:rFonts w:asciiTheme="minorHAnsi" w:hAnsiTheme="minorHAnsi"/>
                <w:szCs w:val="18"/>
                <w:lang w:val="sk-SK"/>
              </w:rPr>
            </w:pPr>
            <w:r w:rsidRPr="000739C5">
              <w:rPr>
                <w:rFonts w:asciiTheme="minorHAnsi" w:hAnsiTheme="minorHAnsi"/>
                <w:szCs w:val="18"/>
                <w:lang w:val="sk-SK"/>
              </w:rPr>
              <w:t>Riziko</w:t>
            </w:r>
          </w:p>
        </w:tc>
        <w:tc>
          <w:tcPr>
            <w:tcW w:w="5644" w:type="dxa"/>
            <w:shd w:val="clear" w:color="auto" w:fill="BDD6EE" w:themeFill="accent1" w:themeFillTint="66"/>
            <w:vAlign w:val="center"/>
          </w:tcPr>
          <w:p w14:paraId="4AC4CC79" w14:textId="77777777" w:rsidR="007B092D" w:rsidRPr="000739C5" w:rsidRDefault="007B092D" w:rsidP="00CD5120">
            <w:pPr>
              <w:pStyle w:val="Q14Tablevisiblen"/>
              <w:jc w:val="left"/>
              <w:rPr>
                <w:rFonts w:asciiTheme="minorHAnsi" w:hAnsiTheme="minorHAnsi"/>
                <w:szCs w:val="18"/>
                <w:lang w:val="sk-SK"/>
              </w:rPr>
            </w:pPr>
            <w:r w:rsidRPr="000739C5">
              <w:rPr>
                <w:rFonts w:asciiTheme="minorHAnsi" w:hAnsiTheme="minorHAnsi"/>
                <w:szCs w:val="18"/>
                <w:lang w:val="sk-SK"/>
              </w:rPr>
              <w:t>Dopady rizika</w:t>
            </w:r>
          </w:p>
        </w:tc>
      </w:tr>
      <w:tr w:rsidR="007B092D" w:rsidRPr="000739C5" w14:paraId="762A14C1" w14:textId="77777777" w:rsidTr="00CD5120">
        <w:trPr>
          <w:trHeight w:val="283"/>
        </w:trPr>
        <w:tc>
          <w:tcPr>
            <w:tcW w:w="3530" w:type="dxa"/>
            <w:shd w:val="clear" w:color="auto" w:fill="DEEAF6" w:themeFill="accent1" w:themeFillTint="33"/>
          </w:tcPr>
          <w:p w14:paraId="400B7316" w14:textId="14C1E4B0" w:rsidR="007B092D" w:rsidRPr="000739C5" w:rsidRDefault="007B092D" w:rsidP="001F4096">
            <w:pPr>
              <w:pStyle w:val="Q14Tablevisiblen"/>
              <w:ind w:left="59"/>
              <w:jc w:val="left"/>
              <w:rPr>
                <w:rFonts w:asciiTheme="minorHAnsi" w:hAnsiTheme="minorHAnsi"/>
                <w:szCs w:val="18"/>
                <w:lang w:val="sk-SK" w:eastAsia="sk-SK"/>
              </w:rPr>
            </w:pPr>
            <w:r>
              <w:rPr>
                <w:rFonts w:asciiTheme="minorHAnsi" w:hAnsiTheme="minorHAnsi"/>
                <w:szCs w:val="18"/>
                <w:lang w:val="sk-SK" w:eastAsia="sk-SK"/>
              </w:rPr>
              <w:t>Nenaplnenie požiadaviek Smernice v praxi</w:t>
            </w:r>
          </w:p>
        </w:tc>
        <w:tc>
          <w:tcPr>
            <w:tcW w:w="5644" w:type="dxa"/>
          </w:tcPr>
          <w:p w14:paraId="7F122533" w14:textId="5F5501DE" w:rsidR="007B092D" w:rsidRPr="000739C5" w:rsidRDefault="007B092D" w:rsidP="00CD5120">
            <w:pPr>
              <w:rPr>
                <w:rFonts w:asciiTheme="minorHAnsi" w:hAnsiTheme="minorHAnsi"/>
                <w:sz w:val="18"/>
                <w:szCs w:val="18"/>
                <w:lang w:eastAsia="sk-SK"/>
              </w:rPr>
            </w:pPr>
            <w:r w:rsidRPr="007B092D">
              <w:rPr>
                <w:rFonts w:asciiTheme="minorHAnsi" w:hAnsiTheme="minorHAnsi"/>
                <w:sz w:val="18"/>
                <w:szCs w:val="18"/>
                <w:lang w:eastAsia="sk-SK"/>
              </w:rPr>
              <w:t xml:space="preserve">Začatie formálneho konania voči Slovenskej republike o porušení povinnosti vyplývajúcej z práva EÚ (tzv. </w:t>
            </w:r>
            <w:r w:rsidRPr="009F7CDF">
              <w:rPr>
                <w:rFonts w:asciiTheme="minorHAnsi" w:hAnsiTheme="minorHAnsi"/>
                <w:i/>
                <w:sz w:val="18"/>
                <w:szCs w:val="18"/>
                <w:lang w:eastAsia="sk-SK"/>
              </w:rPr>
              <w:t>infringement</w:t>
            </w:r>
            <w:r w:rsidRPr="007B092D">
              <w:rPr>
                <w:rFonts w:asciiTheme="minorHAnsi" w:hAnsiTheme="minorHAnsi"/>
                <w:sz w:val="18"/>
                <w:szCs w:val="18"/>
                <w:lang w:eastAsia="sk-SK"/>
              </w:rPr>
              <w:t>).</w:t>
            </w:r>
          </w:p>
        </w:tc>
      </w:tr>
      <w:tr w:rsidR="007B092D" w:rsidRPr="000739C5" w14:paraId="42F0E433" w14:textId="77777777" w:rsidTr="00CD5120">
        <w:trPr>
          <w:trHeight w:val="283"/>
        </w:trPr>
        <w:tc>
          <w:tcPr>
            <w:tcW w:w="3530" w:type="dxa"/>
            <w:shd w:val="clear" w:color="auto" w:fill="DEEAF6" w:themeFill="accent1" w:themeFillTint="33"/>
          </w:tcPr>
          <w:p w14:paraId="58F065D3" w14:textId="5D2E0E2A" w:rsidR="007B092D" w:rsidRDefault="007B092D" w:rsidP="00313F9C">
            <w:pPr>
              <w:pStyle w:val="Q14Tablevisiblen"/>
              <w:ind w:left="59"/>
              <w:jc w:val="left"/>
              <w:rPr>
                <w:rFonts w:asciiTheme="minorHAnsi" w:hAnsiTheme="minorHAnsi"/>
                <w:szCs w:val="18"/>
                <w:lang w:val="sk-SK" w:eastAsia="sk-SK"/>
              </w:rPr>
            </w:pPr>
            <w:r>
              <w:rPr>
                <w:rFonts w:asciiTheme="minorHAnsi" w:hAnsiTheme="minorHAnsi"/>
                <w:szCs w:val="18"/>
                <w:lang w:val="sk-SK" w:eastAsia="sk-SK"/>
              </w:rPr>
              <w:t>Vymáhanie práv záujemcov o poskytovanie EETS</w:t>
            </w:r>
          </w:p>
        </w:tc>
        <w:tc>
          <w:tcPr>
            <w:tcW w:w="5644" w:type="dxa"/>
          </w:tcPr>
          <w:p w14:paraId="197F47C4" w14:textId="77DE5D70" w:rsidR="007B092D" w:rsidRPr="007B092D" w:rsidRDefault="00231B2B" w:rsidP="001F4096">
            <w:pPr>
              <w:rPr>
                <w:rFonts w:asciiTheme="minorHAnsi" w:hAnsiTheme="minorHAnsi"/>
                <w:sz w:val="18"/>
                <w:szCs w:val="18"/>
                <w:lang w:eastAsia="sk-SK"/>
              </w:rPr>
            </w:pPr>
            <w:r>
              <w:rPr>
                <w:rFonts w:asciiTheme="minorHAnsi" w:hAnsiTheme="minorHAnsi"/>
                <w:sz w:val="18"/>
                <w:szCs w:val="18"/>
                <w:lang w:eastAsia="sk-SK"/>
              </w:rPr>
              <w:t>Záujemcovia o poskytovanie EETS si uplatnia práva a nároky na odškodnenie právnou cestou a/alebo u súdu.</w:t>
            </w:r>
          </w:p>
        </w:tc>
      </w:tr>
      <w:tr w:rsidR="00231B2B" w:rsidRPr="000739C5" w14:paraId="14E25B0B" w14:textId="77777777" w:rsidTr="00CD5120">
        <w:trPr>
          <w:trHeight w:val="283"/>
        </w:trPr>
        <w:tc>
          <w:tcPr>
            <w:tcW w:w="3530" w:type="dxa"/>
            <w:shd w:val="clear" w:color="auto" w:fill="DEEAF6" w:themeFill="accent1" w:themeFillTint="33"/>
          </w:tcPr>
          <w:p w14:paraId="5CE6993E" w14:textId="62D2228F" w:rsidR="00231B2B" w:rsidRDefault="00231B2B" w:rsidP="00313F9C">
            <w:pPr>
              <w:pStyle w:val="Q14Tablevisiblen"/>
              <w:ind w:left="59"/>
              <w:jc w:val="left"/>
              <w:rPr>
                <w:rFonts w:asciiTheme="minorHAnsi" w:hAnsiTheme="minorHAnsi"/>
                <w:szCs w:val="18"/>
                <w:lang w:val="sk-SK" w:eastAsia="sk-SK"/>
              </w:rPr>
            </w:pPr>
            <w:r>
              <w:rPr>
                <w:rFonts w:asciiTheme="minorHAnsi" w:hAnsiTheme="minorHAnsi"/>
                <w:szCs w:val="18"/>
                <w:lang w:val="sk-SK" w:eastAsia="sk-SK"/>
              </w:rPr>
              <w:t>Strata dobrého mena NDS</w:t>
            </w:r>
          </w:p>
        </w:tc>
        <w:tc>
          <w:tcPr>
            <w:tcW w:w="5644" w:type="dxa"/>
          </w:tcPr>
          <w:p w14:paraId="37827640" w14:textId="70905189" w:rsidR="00231B2B" w:rsidRDefault="00231B2B" w:rsidP="00CD5120">
            <w:pPr>
              <w:rPr>
                <w:rFonts w:asciiTheme="minorHAnsi" w:hAnsiTheme="minorHAnsi"/>
                <w:sz w:val="18"/>
                <w:szCs w:val="18"/>
                <w:lang w:eastAsia="sk-SK"/>
              </w:rPr>
            </w:pPr>
            <w:r>
              <w:rPr>
                <w:rFonts w:asciiTheme="minorHAnsi" w:hAnsiTheme="minorHAnsi"/>
                <w:sz w:val="18"/>
                <w:szCs w:val="18"/>
                <w:lang w:eastAsia="sk-SK"/>
              </w:rPr>
              <w:t>Medializácia a negatívna kampaň poskytovateľov EETS voči NDS v súvislosti s nemožnosťou poskytovať EETS.</w:t>
            </w:r>
          </w:p>
          <w:p w14:paraId="1591C940" w14:textId="439E9E3B" w:rsidR="00231B2B" w:rsidRDefault="00231B2B" w:rsidP="001F4096">
            <w:pPr>
              <w:rPr>
                <w:rFonts w:asciiTheme="minorHAnsi" w:hAnsiTheme="minorHAnsi"/>
                <w:sz w:val="18"/>
                <w:szCs w:val="18"/>
                <w:lang w:eastAsia="sk-SK"/>
              </w:rPr>
            </w:pPr>
            <w:r>
              <w:rPr>
                <w:rFonts w:asciiTheme="minorHAnsi" w:hAnsiTheme="minorHAnsi"/>
                <w:sz w:val="18"/>
                <w:szCs w:val="18"/>
                <w:lang w:eastAsia="sk-SK"/>
              </w:rPr>
              <w:t>Medializácia a negatívna kampaň dopravcov voči NDS v súvislosti s nemožnosťou využívať EETS.</w:t>
            </w:r>
          </w:p>
        </w:tc>
      </w:tr>
    </w:tbl>
    <w:p w14:paraId="0FEE6FB8" w14:textId="7245F031" w:rsidR="007B092D" w:rsidRDefault="007B092D" w:rsidP="0039189E"/>
    <w:p w14:paraId="001C6EC2" w14:textId="6147219A" w:rsidR="00366F12" w:rsidRDefault="00366F12">
      <w:pPr>
        <w:spacing w:before="0" w:after="0" w:line="240" w:lineRule="auto"/>
        <w:jc w:val="left"/>
      </w:pPr>
      <w:r>
        <w:br w:type="page"/>
      </w:r>
    </w:p>
    <w:p w14:paraId="7D6C8DAD" w14:textId="49C46DD3" w:rsidR="009818CE" w:rsidRDefault="009818CE" w:rsidP="005A7D49">
      <w:pPr>
        <w:pStyle w:val="Heading1"/>
        <w:ind w:left="431" w:hanging="431"/>
      </w:pPr>
      <w:bookmarkStart w:id="113" w:name="_Toc73353689"/>
      <w:bookmarkStart w:id="114" w:name="_Toc73353858"/>
      <w:bookmarkStart w:id="115" w:name="_Toc73353988"/>
      <w:bookmarkStart w:id="116" w:name="_Toc73354107"/>
      <w:bookmarkStart w:id="117" w:name="_Toc73354224"/>
      <w:bookmarkStart w:id="118" w:name="_Toc73354327"/>
      <w:bookmarkStart w:id="119" w:name="_Toc73354404"/>
      <w:bookmarkStart w:id="120" w:name="_Toc73354480"/>
      <w:bookmarkStart w:id="121" w:name="_Toc33006392"/>
      <w:bookmarkStart w:id="122" w:name="_Toc87348737"/>
      <w:bookmarkEnd w:id="113"/>
      <w:bookmarkEnd w:id="114"/>
      <w:bookmarkEnd w:id="115"/>
      <w:bookmarkEnd w:id="116"/>
      <w:bookmarkEnd w:id="117"/>
      <w:bookmarkEnd w:id="118"/>
      <w:bookmarkEnd w:id="119"/>
      <w:bookmarkEnd w:id="120"/>
      <w:r>
        <w:lastRenderedPageBreak/>
        <w:t>Analýza nákladov a</w:t>
      </w:r>
      <w:r w:rsidR="002D3500">
        <w:t> </w:t>
      </w:r>
      <w:r>
        <w:t>prínosov</w:t>
      </w:r>
      <w:bookmarkEnd w:id="122"/>
      <w:r w:rsidR="002D3500">
        <w:t xml:space="preserve"> </w:t>
      </w:r>
    </w:p>
    <w:p w14:paraId="0FB624AD" w14:textId="5A0DAFDA" w:rsidR="00DD47EF" w:rsidRPr="00EF1CB7" w:rsidRDefault="00DD47EF" w:rsidP="00EF1CB7">
      <w:pPr>
        <w:pStyle w:val="Heading2"/>
      </w:pPr>
      <w:bookmarkStart w:id="123" w:name="_Toc87348738"/>
      <w:r>
        <w:t>Dvojúrovňový prístup k spracovaní CBA</w:t>
      </w:r>
      <w:bookmarkEnd w:id="123"/>
    </w:p>
    <w:p w14:paraId="0975F691" w14:textId="68C1B3A3" w:rsidR="009818CE" w:rsidRDefault="009818CE" w:rsidP="00EF1CB7">
      <w:r>
        <w:t>Analýza nákladov a prínosov bola spracovaná v nasledovných čiastkových krokoch:</w:t>
      </w:r>
    </w:p>
    <w:p w14:paraId="6A156B6C" w14:textId="62361EDD" w:rsidR="009818CE" w:rsidRDefault="009818CE" w:rsidP="00480B97">
      <w:pPr>
        <w:pStyle w:val="ListParagraph"/>
        <w:numPr>
          <w:ilvl w:val="0"/>
          <w:numId w:val="41"/>
        </w:numPr>
      </w:pPr>
      <w:r>
        <w:t>analýza k </w:t>
      </w:r>
      <w:r w:rsidR="00955CD4">
        <w:t>celkovým</w:t>
      </w:r>
      <w:r>
        <w:t xml:space="preserve"> nákladom </w:t>
      </w:r>
      <w:r w:rsidR="00955CD4">
        <w:t xml:space="preserve">na vlastníctvo (TCO) subsystému </w:t>
      </w:r>
      <w:r>
        <w:t>Rozhrania EETS ako samostatného I</w:t>
      </w:r>
      <w:r w:rsidR="008E30F5">
        <w:t>K</w:t>
      </w:r>
      <w:r>
        <w:t>T systému</w:t>
      </w:r>
      <w:r w:rsidR="008E30F5">
        <w:t xml:space="preserve"> verejnej správy</w:t>
      </w:r>
      <w:r>
        <w:t xml:space="preserve">, a </w:t>
      </w:r>
    </w:p>
    <w:p w14:paraId="0D0E5C59" w14:textId="77777777" w:rsidR="009818CE" w:rsidRDefault="009818CE" w:rsidP="00480B97">
      <w:pPr>
        <w:pStyle w:val="ListParagraph"/>
        <w:numPr>
          <w:ilvl w:val="0"/>
          <w:numId w:val="41"/>
        </w:numPr>
      </w:pPr>
      <w:r>
        <w:t xml:space="preserve">CBA analýza k posúdení projektu ako komplexného celku vrátane zabezpečenia prevádzky EETS a outsourcingu biznis procesov dodávateľským spôsobom. </w:t>
      </w:r>
    </w:p>
    <w:p w14:paraId="65E872E7" w14:textId="433D8082" w:rsidR="009818CE" w:rsidRDefault="009818CE" w:rsidP="009818CE">
      <w:r>
        <w:t xml:space="preserve">CBA analýza k hodnotení finančných a ekonomických parametrov </w:t>
      </w:r>
      <w:r w:rsidR="006B18D7">
        <w:t>subsystému</w:t>
      </w:r>
      <w:r>
        <w:t xml:space="preserve"> Rozhrani</w:t>
      </w:r>
      <w:r w:rsidR="006B18D7">
        <w:t>e</w:t>
      </w:r>
      <w:r>
        <w:t xml:space="preserve"> EETS je spracovaná v súlade s metodikou MIRRI a s použitím predpísaného vzoru „Príloha pre spracovanie biznis case a cost benefit analýzy informačných technológií verejnej správy“, verzia 1.4.</w:t>
      </w:r>
    </w:p>
    <w:p w14:paraId="200698DC" w14:textId="39A4C12D" w:rsidR="002D3500" w:rsidRDefault="00DD47EF" w:rsidP="009818CE">
      <w:r>
        <w:rPr>
          <w:noProof/>
          <w:lang w:val="cs-CZ"/>
        </w:rPr>
        <w:drawing>
          <wp:anchor distT="0" distB="0" distL="114300" distR="114300" simplePos="0" relativeHeight="251658240" behindDoc="0" locked="0" layoutInCell="1" allowOverlap="1" wp14:anchorId="2333FB96" wp14:editId="49042EAB">
            <wp:simplePos x="0" y="0"/>
            <wp:positionH relativeFrom="column">
              <wp:posOffset>-77315</wp:posOffset>
            </wp:positionH>
            <wp:positionV relativeFrom="paragraph">
              <wp:posOffset>61921</wp:posOffset>
            </wp:positionV>
            <wp:extent cx="2019300" cy="2105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A.emf"/>
                    <pic:cNvPicPr/>
                  </pic:nvPicPr>
                  <pic:blipFill>
                    <a:blip r:embed="rId14">
                      <a:extLst>
                        <a:ext uri="{28A0092B-C50C-407E-A947-70E740481C1C}">
                          <a14:useLocalDpi xmlns:a14="http://schemas.microsoft.com/office/drawing/2010/main" val="0"/>
                        </a:ext>
                      </a:extLst>
                    </a:blip>
                    <a:stretch>
                      <a:fillRect/>
                    </a:stretch>
                  </pic:blipFill>
                  <pic:spPr>
                    <a:xfrm>
                      <a:off x="0" y="0"/>
                      <a:ext cx="2019300" cy="2105025"/>
                    </a:xfrm>
                    <a:prstGeom prst="rect">
                      <a:avLst/>
                    </a:prstGeom>
                  </pic:spPr>
                </pic:pic>
              </a:graphicData>
            </a:graphic>
            <wp14:sizeRelH relativeFrom="page">
              <wp14:pctWidth>0</wp14:pctWidth>
            </wp14:sizeRelH>
            <wp14:sizeRelV relativeFrom="page">
              <wp14:pctHeight>0</wp14:pctHeight>
            </wp14:sizeRelV>
          </wp:anchor>
        </w:drawing>
      </w:r>
      <w:r w:rsidR="009818CE">
        <w:t xml:space="preserve">S ohľadom na skutočnosť, že hodnotený </w:t>
      </w:r>
      <w:r w:rsidR="002D3500">
        <w:t xml:space="preserve">IKT </w:t>
      </w:r>
      <w:r w:rsidR="00955CD4">
        <w:t>sub</w:t>
      </w:r>
      <w:r w:rsidR="002D3500">
        <w:t xml:space="preserve">systém Rozhranie EETS vo svojej podstate nie je agendovým systémom, predpísaný vzor CBA analýzy </w:t>
      </w:r>
      <w:r>
        <w:t xml:space="preserve">MIRRI v.1.4 </w:t>
      </w:r>
      <w:r w:rsidR="002D3500">
        <w:t xml:space="preserve">neumožňuje opísať všetky aspekty strany prínosov projektu vo svojej komplexnosti. Z uvedeného dôvodu bol predpísaný vzor CBA analýzy </w:t>
      </w:r>
      <w:r>
        <w:t xml:space="preserve">MIRRI </w:t>
      </w:r>
      <w:r w:rsidR="002D3500">
        <w:t xml:space="preserve">použitý na stanovenie celkových nákladov </w:t>
      </w:r>
      <w:r w:rsidR="00955CD4">
        <w:t>na vlastníctvo</w:t>
      </w:r>
      <w:r w:rsidR="002D3500">
        <w:t xml:space="preserve"> projektu (TCO)</w:t>
      </w:r>
      <w:r>
        <w:t xml:space="preserve"> IKT technológií</w:t>
      </w:r>
      <w:r w:rsidR="002D3500">
        <w:t>. Výsledky tejto CBA analýzy budú použité v ďalšom kroku ako referenčná základňa pre hodnotenie primeranosti ceny za dodanie Rozhrania EETS v rámci zmeny Komplexnej služby elektronického výberu mýta.</w:t>
      </w:r>
    </w:p>
    <w:p w14:paraId="50101EC6" w14:textId="47FF6676" w:rsidR="00955CD4" w:rsidRDefault="002D3500" w:rsidP="009818CE">
      <w:r>
        <w:t xml:space="preserve">Prínosy </w:t>
      </w:r>
      <w:r w:rsidR="005C1722">
        <w:t xml:space="preserve">a náklady </w:t>
      </w:r>
      <w:r>
        <w:t xml:space="preserve">projektu </w:t>
      </w:r>
      <w:r w:rsidR="005C1722">
        <w:t xml:space="preserve">budú následne vyhodnotené v rámci CBA analýzy projektu ako komplexného celku, zahŕňajúce </w:t>
      </w:r>
      <w:r w:rsidR="006B18D7">
        <w:t xml:space="preserve">dodávku subsystému </w:t>
      </w:r>
      <w:r w:rsidR="005C1722">
        <w:t xml:space="preserve">Rozhranie EETS, zabezpečenie </w:t>
      </w:r>
      <w:r w:rsidR="006B18D7">
        <w:t xml:space="preserve">jeho </w:t>
      </w:r>
      <w:r w:rsidR="005C1722">
        <w:t xml:space="preserve">prevádzky a outsourcing biznis procesov dodávateľským spôsobom v rámci Komplexnej služby elektronického výberu mýta. Analýza bude spracovaná v súlade s odporúčaniami </w:t>
      </w:r>
      <w:r w:rsidR="005C1722" w:rsidRPr="005C1722">
        <w:t>Metodickej príručky k tvorbe analýz nákladov a prínosov (CBA), verzia 2.1, vydanej Sekciou riadenia projektov MDV</w:t>
      </w:r>
      <w:r w:rsidR="005C1722">
        <w:t>.</w:t>
      </w:r>
    </w:p>
    <w:p w14:paraId="3871C4C6" w14:textId="77777777" w:rsidR="00955CD4" w:rsidRDefault="00955CD4" w:rsidP="009818CE"/>
    <w:p w14:paraId="07087AF7" w14:textId="6BCA266D" w:rsidR="00955CD4" w:rsidRDefault="00955CD4" w:rsidP="00EF1CB7">
      <w:pPr>
        <w:pStyle w:val="Heading2"/>
      </w:pPr>
      <w:bookmarkStart w:id="124" w:name="_Ref79371278"/>
      <w:bookmarkStart w:id="125" w:name="_Toc87348739"/>
      <w:r>
        <w:t>Celkové náklady na vlastníctvo IKT systému „Rozhranie EETS“</w:t>
      </w:r>
      <w:bookmarkEnd w:id="124"/>
      <w:bookmarkEnd w:id="125"/>
    </w:p>
    <w:p w14:paraId="4FC8EFC1" w14:textId="5A1E5850" w:rsidR="00C5330C" w:rsidRDefault="00C5330C" w:rsidP="00EF1CB7">
      <w:pPr>
        <w:pStyle w:val="Heading3"/>
      </w:pPr>
      <w:bookmarkStart w:id="126" w:name="_Toc87348740"/>
      <w:r>
        <w:t>Celkové náklady na vlastníctvo</w:t>
      </w:r>
      <w:bookmarkEnd w:id="126"/>
    </w:p>
    <w:p w14:paraId="2F20ACA6" w14:textId="2A423CEB" w:rsidR="00472038" w:rsidRDefault="00955CD4" w:rsidP="009818CE">
      <w:r>
        <w:t>Celkové náklady na vlastníctvo IKT systému</w:t>
      </w:r>
      <w:r w:rsidR="006B18D7">
        <w:t xml:space="preserve"> boli spracované v súlade s metodikou MIRRI a s použitím predpísaného vzoru „Príloha pre spracovanie biznis case a cost benefit analýzy informačných technológií verejnej správy“, verzia 1.4. Na stanovenie nákladov na vývoj a dodanie aplikačného softvéru bola použitá metodika analýzy prípadov použitia (</w:t>
      </w:r>
      <w:r w:rsidR="006B18D7" w:rsidRPr="00EF1CB7">
        <w:rPr>
          <w:i/>
        </w:rPr>
        <w:t>Use Cases</w:t>
      </w:r>
      <w:r w:rsidR="006B18D7">
        <w:t>) UCWA. Na základe návrhu biznis procesov EETS bol zostavený katalóg funkčných a nefunkčných požiadaviek. Tento katalóg bol následne obmedzený na skupinu prípadov užitia, ktoré budú predmetom technického riešenia subsystému Rozhranie EETS</w:t>
      </w:r>
      <w:r w:rsidR="00472038">
        <w:t>. Výsledný katalóg obsahuje celkom 90 funkčných a 13 nefunkčných požiadaviek. Nefunkčné požiadavky zahŕňajú predovšetkým úlohy potrebné na vytvorenie a overenie Geomodelu a jeho zavedenie do databázy kontextových dát v subsystému Rozhrania EETS, a ďalej úlohy spojené s integráciou subsystému Rozhranie EETS do Komplexnej služby elektronického výberu mýta.</w:t>
      </w:r>
    </w:p>
    <w:p w14:paraId="60B95D43" w14:textId="3ED4777A" w:rsidR="00E14BC4" w:rsidRDefault="00E14BC4" w:rsidP="009818CE">
      <w:r>
        <w:t xml:space="preserve">Celá analýza je samostatnou prílohou </w:t>
      </w:r>
      <w:r w:rsidR="000F4004">
        <w:fldChar w:fldCharType="begin"/>
      </w:r>
      <w:r w:rsidR="000F4004">
        <w:instrText xml:space="preserve"> REF _Ref79369997 \r \h </w:instrText>
      </w:r>
      <w:r w:rsidR="000F4004">
        <w:fldChar w:fldCharType="separate"/>
      </w:r>
      <w:r w:rsidR="00A86720">
        <w:t>[3]</w:t>
      </w:r>
      <w:r w:rsidR="000F4004">
        <w:fldChar w:fldCharType="end"/>
      </w:r>
      <w:r w:rsidR="000F4004">
        <w:t xml:space="preserve"> tejto správy.</w:t>
      </w:r>
    </w:p>
    <w:p w14:paraId="5043FE4C" w14:textId="09EF9611" w:rsidR="00BD1310" w:rsidRDefault="00BD1310" w:rsidP="009818CE">
      <w:r>
        <w:t xml:space="preserve">Externé náklady na vývoj softvéru boli stanovené na základe hodnotení parametrov jednotlivých prípadov použitia podľa metodiky UCWA analýzy, s použitím odporúčaných sadzieb odmeny (Eur/MD) za činnosti v jednotlivých odborných profesiách. </w:t>
      </w:r>
    </w:p>
    <w:p w14:paraId="402FC953" w14:textId="77777777" w:rsidR="00BD1310" w:rsidRDefault="00472038" w:rsidP="009818CE">
      <w:r>
        <w:t xml:space="preserve">Interné náklady realizácie projektu Rozhranie EETS boli spracované na základe kvalifikovaného odhadu rozsahu  prác zamestnancov NDS, ktorí sa budú </w:t>
      </w:r>
      <w:r w:rsidR="00BD1310">
        <w:t>podieľať</w:t>
      </w:r>
      <w:r>
        <w:t xml:space="preserve"> na riadení </w:t>
      </w:r>
      <w:r w:rsidR="00BD1310">
        <w:t xml:space="preserve">realizácie </w:t>
      </w:r>
      <w:r>
        <w:t>projektu</w:t>
      </w:r>
      <w:r w:rsidR="00BD1310">
        <w:t xml:space="preserve">. Jedná sa </w:t>
      </w:r>
      <w:r w:rsidR="00BD1310">
        <w:lastRenderedPageBreak/>
        <w:t>predovšetkým o kľúčových používateľov a biznis analytikov, ktorí budú definovať podrobné funkčné požiadavky, funkčné parametre a kontrolovať ich naplnenie.</w:t>
      </w:r>
    </w:p>
    <w:p w14:paraId="453116EA" w14:textId="6F608478" w:rsidR="00955CD4" w:rsidRDefault="00BD1310" w:rsidP="009818CE">
      <w:r>
        <w:t xml:space="preserve">Riešenie nefunkčných požiadaviek sa týka prác a služieb, zabezpečovaných spoločnosťou SkyToll bez ohľadu na to, kto bude realizovať dodanie subsystému Rozhranie EETS. </w:t>
      </w:r>
      <w:r w:rsidR="008308A6">
        <w:t>O</w:t>
      </w:r>
      <w:r>
        <w:t xml:space="preserve">cenenie predmetných prác a služieb </w:t>
      </w:r>
      <w:r w:rsidR="008308A6">
        <w:t>je</w:t>
      </w:r>
      <w:r w:rsidR="00E14BC4">
        <w:t xml:space="preserve"> </w:t>
      </w:r>
      <w:r w:rsidR="008308A6">
        <w:t>za</w:t>
      </w:r>
      <w:r w:rsidR="00E14BC4">
        <w:t xml:space="preserve">nesené do položky „Aplikácie – Vytvorenie aplikácie“, skupina výdavkov „518 – Ostatné služby“, obdobie „t1“ na hárku „TCO TO-BE SW“.  </w:t>
      </w:r>
      <w:r w:rsidR="00472038">
        <w:t xml:space="preserve">  </w:t>
      </w:r>
    </w:p>
    <w:p w14:paraId="04A8ED65" w14:textId="1F4FA13D" w:rsidR="00D179B0" w:rsidRDefault="00D179B0" w:rsidP="00EF1CB7">
      <w:pPr>
        <w:pStyle w:val="Caption"/>
      </w:pPr>
      <w:bookmarkStart w:id="127" w:name="_Ref79370727"/>
      <w:r>
        <w:t xml:space="preserve">Tab. </w:t>
      </w:r>
      <w:r>
        <w:fldChar w:fldCharType="begin"/>
      </w:r>
      <w:r>
        <w:instrText xml:space="preserve"> SEQ Tab. \* ARABIC </w:instrText>
      </w:r>
      <w:r>
        <w:fldChar w:fldCharType="separate"/>
      </w:r>
      <w:r w:rsidR="00A86720">
        <w:rPr>
          <w:noProof/>
        </w:rPr>
        <w:t>24</w:t>
      </w:r>
      <w:r>
        <w:fldChar w:fldCharType="end"/>
      </w:r>
      <w:r>
        <w:t xml:space="preserve"> - Celkové náklady na vlastníctvo IKT </w:t>
      </w:r>
      <w:r w:rsidR="00B23DBD">
        <w:t>sub</w:t>
      </w:r>
      <w:r>
        <w:t>systému Rozhranie EETS</w:t>
      </w:r>
      <w:bookmarkEnd w:id="127"/>
    </w:p>
    <w:tbl>
      <w:tblPr>
        <w:tblW w:w="920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left w:w="70" w:type="dxa"/>
          <w:right w:w="70" w:type="dxa"/>
        </w:tblCellMar>
        <w:tblLook w:val="04A0" w:firstRow="1" w:lastRow="0" w:firstColumn="1" w:lastColumn="0" w:noHBand="0" w:noVBand="1"/>
      </w:tblPr>
      <w:tblGrid>
        <w:gridCol w:w="2684"/>
        <w:gridCol w:w="2126"/>
        <w:gridCol w:w="1098"/>
        <w:gridCol w:w="1099"/>
        <w:gridCol w:w="1098"/>
        <w:gridCol w:w="1099"/>
      </w:tblGrid>
      <w:tr w:rsidR="00D179B0" w:rsidRPr="00EF1CB7" w14:paraId="38BDF01D" w14:textId="77777777" w:rsidTr="00EF1CB7">
        <w:trPr>
          <w:trHeight w:val="300"/>
        </w:trPr>
        <w:tc>
          <w:tcPr>
            <w:tcW w:w="2684" w:type="dxa"/>
            <w:shd w:val="clear" w:color="auto" w:fill="BDD6EE" w:themeFill="accent1" w:themeFillTint="66"/>
            <w:noWrap/>
            <w:vAlign w:val="center"/>
            <w:hideMark/>
          </w:tcPr>
          <w:p w14:paraId="174A1FA7" w14:textId="77777777" w:rsidR="00D179B0" w:rsidRPr="00EF1CB7" w:rsidRDefault="00D179B0" w:rsidP="00EF1CB7">
            <w:pPr>
              <w:spacing w:before="0" w:after="0" w:line="240" w:lineRule="auto"/>
              <w:jc w:val="center"/>
              <w:rPr>
                <w:rFonts w:asciiTheme="majorHAnsi" w:hAnsiTheme="majorHAnsi" w:cstheme="majorHAnsi"/>
                <w:bCs/>
                <w:sz w:val="18"/>
                <w:szCs w:val="18"/>
              </w:rPr>
            </w:pPr>
            <w:r w:rsidRPr="00EF1CB7">
              <w:rPr>
                <w:rFonts w:asciiTheme="majorHAnsi" w:hAnsiTheme="majorHAnsi" w:cstheme="majorHAnsi"/>
                <w:bCs/>
                <w:sz w:val="18"/>
                <w:szCs w:val="18"/>
              </w:rPr>
              <w:t>TO BE</w:t>
            </w:r>
          </w:p>
        </w:tc>
        <w:tc>
          <w:tcPr>
            <w:tcW w:w="2126" w:type="dxa"/>
            <w:shd w:val="clear" w:color="auto" w:fill="BDD6EE" w:themeFill="accent1" w:themeFillTint="66"/>
            <w:vAlign w:val="center"/>
            <w:hideMark/>
          </w:tcPr>
          <w:p w14:paraId="11AD0D08" w14:textId="77777777" w:rsidR="00D179B0" w:rsidRPr="00EF1CB7" w:rsidRDefault="00D179B0" w:rsidP="00EF1CB7">
            <w:pPr>
              <w:spacing w:before="0" w:after="0" w:line="240" w:lineRule="auto"/>
              <w:jc w:val="center"/>
              <w:rPr>
                <w:rFonts w:asciiTheme="majorHAnsi" w:hAnsiTheme="majorHAnsi" w:cstheme="majorHAnsi"/>
                <w:sz w:val="18"/>
                <w:szCs w:val="18"/>
              </w:rPr>
            </w:pPr>
            <w:r w:rsidRPr="00EF1CB7">
              <w:rPr>
                <w:rFonts w:asciiTheme="majorHAnsi" w:hAnsiTheme="majorHAnsi" w:cstheme="majorHAnsi"/>
                <w:sz w:val="18"/>
                <w:szCs w:val="18"/>
              </w:rPr>
              <w:t>Spolu</w:t>
            </w:r>
          </w:p>
        </w:tc>
        <w:tc>
          <w:tcPr>
            <w:tcW w:w="1098" w:type="dxa"/>
            <w:shd w:val="clear" w:color="auto" w:fill="BDD6EE" w:themeFill="accent1" w:themeFillTint="66"/>
            <w:vAlign w:val="center"/>
            <w:hideMark/>
          </w:tcPr>
          <w:p w14:paraId="36D9AAB2" w14:textId="77777777" w:rsidR="00D179B0" w:rsidRPr="00EF1CB7" w:rsidRDefault="00D179B0" w:rsidP="00EF1CB7">
            <w:pPr>
              <w:spacing w:before="0" w:after="0" w:line="240" w:lineRule="auto"/>
              <w:jc w:val="center"/>
              <w:rPr>
                <w:rFonts w:asciiTheme="majorHAnsi" w:hAnsiTheme="majorHAnsi" w:cstheme="majorHAnsi"/>
                <w:sz w:val="18"/>
                <w:szCs w:val="18"/>
              </w:rPr>
            </w:pPr>
            <w:r w:rsidRPr="00EF1CB7">
              <w:rPr>
                <w:rFonts w:asciiTheme="majorHAnsi" w:hAnsiTheme="majorHAnsi" w:cstheme="majorHAnsi"/>
                <w:sz w:val="18"/>
                <w:szCs w:val="18"/>
              </w:rPr>
              <w:t>t1</w:t>
            </w:r>
          </w:p>
        </w:tc>
        <w:tc>
          <w:tcPr>
            <w:tcW w:w="1099" w:type="dxa"/>
            <w:shd w:val="clear" w:color="auto" w:fill="BDD6EE" w:themeFill="accent1" w:themeFillTint="66"/>
            <w:vAlign w:val="center"/>
            <w:hideMark/>
          </w:tcPr>
          <w:p w14:paraId="577650BE" w14:textId="77777777" w:rsidR="00D179B0" w:rsidRPr="00EF1CB7" w:rsidRDefault="00D179B0" w:rsidP="00EF1CB7">
            <w:pPr>
              <w:spacing w:before="0" w:after="0" w:line="240" w:lineRule="auto"/>
              <w:jc w:val="center"/>
              <w:rPr>
                <w:rFonts w:asciiTheme="majorHAnsi" w:hAnsiTheme="majorHAnsi" w:cstheme="majorHAnsi"/>
                <w:sz w:val="18"/>
                <w:szCs w:val="18"/>
              </w:rPr>
            </w:pPr>
            <w:r w:rsidRPr="00EF1CB7">
              <w:rPr>
                <w:rFonts w:asciiTheme="majorHAnsi" w:hAnsiTheme="majorHAnsi" w:cstheme="majorHAnsi"/>
                <w:sz w:val="18"/>
                <w:szCs w:val="18"/>
              </w:rPr>
              <w:t>t2</w:t>
            </w:r>
          </w:p>
        </w:tc>
        <w:tc>
          <w:tcPr>
            <w:tcW w:w="1098" w:type="dxa"/>
            <w:shd w:val="clear" w:color="auto" w:fill="BDD6EE" w:themeFill="accent1" w:themeFillTint="66"/>
            <w:vAlign w:val="center"/>
            <w:hideMark/>
          </w:tcPr>
          <w:p w14:paraId="7104804E" w14:textId="77777777" w:rsidR="00D179B0" w:rsidRPr="00EF1CB7" w:rsidRDefault="00D179B0" w:rsidP="00EF1CB7">
            <w:pPr>
              <w:spacing w:before="0" w:after="0" w:line="240" w:lineRule="auto"/>
              <w:jc w:val="center"/>
              <w:rPr>
                <w:rFonts w:asciiTheme="majorHAnsi" w:hAnsiTheme="majorHAnsi" w:cstheme="majorHAnsi"/>
                <w:sz w:val="18"/>
                <w:szCs w:val="18"/>
              </w:rPr>
            </w:pPr>
            <w:r w:rsidRPr="00EF1CB7">
              <w:rPr>
                <w:rFonts w:asciiTheme="majorHAnsi" w:hAnsiTheme="majorHAnsi" w:cstheme="majorHAnsi"/>
                <w:sz w:val="18"/>
                <w:szCs w:val="18"/>
              </w:rPr>
              <w:t>t3</w:t>
            </w:r>
          </w:p>
        </w:tc>
        <w:tc>
          <w:tcPr>
            <w:tcW w:w="1099" w:type="dxa"/>
            <w:shd w:val="clear" w:color="auto" w:fill="BDD6EE" w:themeFill="accent1" w:themeFillTint="66"/>
            <w:vAlign w:val="center"/>
            <w:hideMark/>
          </w:tcPr>
          <w:p w14:paraId="54BB3722" w14:textId="77777777" w:rsidR="00D179B0" w:rsidRPr="00EF1CB7" w:rsidRDefault="00D179B0" w:rsidP="00EF1CB7">
            <w:pPr>
              <w:spacing w:before="0" w:after="0" w:line="240" w:lineRule="auto"/>
              <w:jc w:val="center"/>
              <w:rPr>
                <w:rFonts w:asciiTheme="majorHAnsi" w:hAnsiTheme="majorHAnsi" w:cstheme="majorHAnsi"/>
                <w:sz w:val="18"/>
                <w:szCs w:val="18"/>
              </w:rPr>
            </w:pPr>
            <w:r w:rsidRPr="00EF1CB7">
              <w:rPr>
                <w:rFonts w:asciiTheme="majorHAnsi" w:hAnsiTheme="majorHAnsi" w:cstheme="majorHAnsi"/>
                <w:sz w:val="18"/>
                <w:szCs w:val="18"/>
              </w:rPr>
              <w:t>t4</w:t>
            </w:r>
          </w:p>
        </w:tc>
      </w:tr>
      <w:tr w:rsidR="00CD1571" w:rsidRPr="00EF1CB7" w14:paraId="4FE9524A" w14:textId="77777777" w:rsidTr="00EF1CB7">
        <w:trPr>
          <w:trHeight w:val="300"/>
        </w:trPr>
        <w:tc>
          <w:tcPr>
            <w:tcW w:w="2684" w:type="dxa"/>
            <w:shd w:val="clear" w:color="auto" w:fill="DEEAF6" w:themeFill="accent1" w:themeFillTint="33"/>
            <w:noWrap/>
            <w:vAlign w:val="center"/>
            <w:hideMark/>
          </w:tcPr>
          <w:p w14:paraId="69B16658"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SW produkty - sumár obstaranie</w:t>
            </w:r>
          </w:p>
        </w:tc>
        <w:tc>
          <w:tcPr>
            <w:tcW w:w="2126" w:type="dxa"/>
            <w:shd w:val="clear" w:color="auto" w:fill="auto"/>
            <w:noWrap/>
            <w:vAlign w:val="center"/>
            <w:hideMark/>
          </w:tcPr>
          <w:p w14:paraId="55B027B1" w14:textId="0A316F60"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554 745</w:t>
            </w:r>
          </w:p>
        </w:tc>
        <w:tc>
          <w:tcPr>
            <w:tcW w:w="1098" w:type="dxa"/>
            <w:shd w:val="clear" w:color="auto" w:fill="auto"/>
            <w:noWrap/>
            <w:vAlign w:val="center"/>
            <w:hideMark/>
          </w:tcPr>
          <w:p w14:paraId="61EF9674" w14:textId="258A5C3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554 745</w:t>
            </w:r>
          </w:p>
        </w:tc>
        <w:tc>
          <w:tcPr>
            <w:tcW w:w="1099" w:type="dxa"/>
            <w:shd w:val="clear" w:color="auto" w:fill="auto"/>
            <w:noWrap/>
            <w:vAlign w:val="center"/>
            <w:hideMark/>
          </w:tcPr>
          <w:p w14:paraId="3F6BC239" w14:textId="48016A00"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8" w:type="dxa"/>
            <w:shd w:val="clear" w:color="auto" w:fill="auto"/>
            <w:noWrap/>
            <w:vAlign w:val="center"/>
            <w:hideMark/>
          </w:tcPr>
          <w:p w14:paraId="2406D5A2" w14:textId="794C53AB"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353E61EC" w14:textId="0032C6E1"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r>
      <w:tr w:rsidR="00CD1571" w:rsidRPr="00EF1CB7" w14:paraId="4F33E28E" w14:textId="77777777" w:rsidTr="00EF1CB7">
        <w:trPr>
          <w:trHeight w:val="300"/>
        </w:trPr>
        <w:tc>
          <w:tcPr>
            <w:tcW w:w="2684" w:type="dxa"/>
            <w:shd w:val="clear" w:color="auto" w:fill="DEEAF6" w:themeFill="accent1" w:themeFillTint="33"/>
            <w:noWrap/>
            <w:vAlign w:val="center"/>
            <w:hideMark/>
          </w:tcPr>
          <w:p w14:paraId="4506CC8E"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SW produkty - sumár prevádzka</w:t>
            </w:r>
          </w:p>
        </w:tc>
        <w:tc>
          <w:tcPr>
            <w:tcW w:w="2126" w:type="dxa"/>
            <w:shd w:val="clear" w:color="auto" w:fill="auto"/>
            <w:noWrap/>
            <w:vAlign w:val="center"/>
            <w:hideMark/>
          </w:tcPr>
          <w:p w14:paraId="30E23E1A" w14:textId="37044DA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1 198 248</w:t>
            </w:r>
          </w:p>
        </w:tc>
        <w:tc>
          <w:tcPr>
            <w:tcW w:w="1098" w:type="dxa"/>
            <w:shd w:val="clear" w:color="auto" w:fill="auto"/>
            <w:noWrap/>
            <w:vAlign w:val="center"/>
            <w:hideMark/>
          </w:tcPr>
          <w:p w14:paraId="72752F1A" w14:textId="3B24B892"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149CF97A" w14:textId="0AC98F49"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133 139</w:t>
            </w:r>
          </w:p>
        </w:tc>
        <w:tc>
          <w:tcPr>
            <w:tcW w:w="1098" w:type="dxa"/>
            <w:shd w:val="clear" w:color="auto" w:fill="auto"/>
            <w:noWrap/>
            <w:vAlign w:val="center"/>
            <w:hideMark/>
          </w:tcPr>
          <w:p w14:paraId="651B68B4" w14:textId="718A999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133 139</w:t>
            </w:r>
          </w:p>
        </w:tc>
        <w:tc>
          <w:tcPr>
            <w:tcW w:w="1099" w:type="dxa"/>
            <w:shd w:val="clear" w:color="auto" w:fill="auto"/>
            <w:noWrap/>
            <w:vAlign w:val="center"/>
            <w:hideMark/>
          </w:tcPr>
          <w:p w14:paraId="678CA1BF" w14:textId="0400D857"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133 139</w:t>
            </w:r>
          </w:p>
        </w:tc>
      </w:tr>
      <w:tr w:rsidR="00CD1571" w:rsidRPr="00EF1CB7" w14:paraId="4337094E" w14:textId="77777777" w:rsidTr="00EF1CB7">
        <w:trPr>
          <w:trHeight w:val="300"/>
        </w:trPr>
        <w:tc>
          <w:tcPr>
            <w:tcW w:w="2684" w:type="dxa"/>
            <w:shd w:val="clear" w:color="auto" w:fill="DEEAF6" w:themeFill="accent1" w:themeFillTint="33"/>
            <w:noWrap/>
            <w:vAlign w:val="center"/>
            <w:hideMark/>
          </w:tcPr>
          <w:p w14:paraId="148744F2"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Aplikácie - sumár obstaranie</w:t>
            </w:r>
          </w:p>
        </w:tc>
        <w:tc>
          <w:tcPr>
            <w:tcW w:w="2126" w:type="dxa"/>
            <w:shd w:val="clear" w:color="auto" w:fill="auto"/>
            <w:noWrap/>
            <w:vAlign w:val="center"/>
            <w:hideMark/>
          </w:tcPr>
          <w:p w14:paraId="246CA5D9" w14:textId="61496420"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2 356 716</w:t>
            </w:r>
          </w:p>
        </w:tc>
        <w:tc>
          <w:tcPr>
            <w:tcW w:w="1098" w:type="dxa"/>
            <w:shd w:val="clear" w:color="auto" w:fill="auto"/>
            <w:noWrap/>
            <w:vAlign w:val="center"/>
            <w:hideMark/>
          </w:tcPr>
          <w:p w14:paraId="77233691" w14:textId="3241A4C5"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2 356 716</w:t>
            </w:r>
          </w:p>
        </w:tc>
        <w:tc>
          <w:tcPr>
            <w:tcW w:w="1099" w:type="dxa"/>
            <w:shd w:val="clear" w:color="auto" w:fill="auto"/>
            <w:noWrap/>
            <w:vAlign w:val="center"/>
            <w:hideMark/>
          </w:tcPr>
          <w:p w14:paraId="1CF1567C" w14:textId="1B5AE253"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8" w:type="dxa"/>
            <w:shd w:val="clear" w:color="auto" w:fill="auto"/>
            <w:noWrap/>
            <w:vAlign w:val="center"/>
            <w:hideMark/>
          </w:tcPr>
          <w:p w14:paraId="718F859F" w14:textId="08A94BF1"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2A0615E8" w14:textId="61D32275"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r>
      <w:tr w:rsidR="00CD1571" w:rsidRPr="00EF1CB7" w14:paraId="61428EEC" w14:textId="77777777" w:rsidTr="00EF1CB7">
        <w:trPr>
          <w:trHeight w:val="300"/>
        </w:trPr>
        <w:tc>
          <w:tcPr>
            <w:tcW w:w="2684" w:type="dxa"/>
            <w:shd w:val="clear" w:color="auto" w:fill="DEEAF6" w:themeFill="accent1" w:themeFillTint="33"/>
            <w:noWrap/>
            <w:vAlign w:val="center"/>
            <w:hideMark/>
          </w:tcPr>
          <w:p w14:paraId="316CC223"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Aplikácie - sumár prevádzka</w:t>
            </w:r>
          </w:p>
        </w:tc>
        <w:tc>
          <w:tcPr>
            <w:tcW w:w="2126" w:type="dxa"/>
            <w:shd w:val="clear" w:color="auto" w:fill="auto"/>
            <w:noWrap/>
            <w:vAlign w:val="center"/>
            <w:hideMark/>
          </w:tcPr>
          <w:p w14:paraId="34609986" w14:textId="74090A0E"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2 516 352</w:t>
            </w:r>
          </w:p>
        </w:tc>
        <w:tc>
          <w:tcPr>
            <w:tcW w:w="1098" w:type="dxa"/>
            <w:shd w:val="clear" w:color="auto" w:fill="auto"/>
            <w:noWrap/>
            <w:vAlign w:val="center"/>
            <w:hideMark/>
          </w:tcPr>
          <w:p w14:paraId="78EE773A" w14:textId="19D3A45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6F60EC32" w14:textId="67553F34"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279 595</w:t>
            </w:r>
          </w:p>
        </w:tc>
        <w:tc>
          <w:tcPr>
            <w:tcW w:w="1098" w:type="dxa"/>
            <w:shd w:val="clear" w:color="auto" w:fill="auto"/>
            <w:noWrap/>
            <w:vAlign w:val="center"/>
            <w:hideMark/>
          </w:tcPr>
          <w:p w14:paraId="74522B61" w14:textId="4C66894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279 595</w:t>
            </w:r>
          </w:p>
        </w:tc>
        <w:tc>
          <w:tcPr>
            <w:tcW w:w="1099" w:type="dxa"/>
            <w:shd w:val="clear" w:color="auto" w:fill="auto"/>
            <w:noWrap/>
            <w:vAlign w:val="center"/>
            <w:hideMark/>
          </w:tcPr>
          <w:p w14:paraId="0F5713C4" w14:textId="14AE3FE4"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279 595</w:t>
            </w:r>
          </w:p>
        </w:tc>
      </w:tr>
      <w:tr w:rsidR="00CD1571" w:rsidRPr="00EF1CB7" w14:paraId="1CD9DD53" w14:textId="77777777" w:rsidTr="00EF1CB7">
        <w:trPr>
          <w:trHeight w:val="300"/>
        </w:trPr>
        <w:tc>
          <w:tcPr>
            <w:tcW w:w="2684" w:type="dxa"/>
            <w:shd w:val="clear" w:color="auto" w:fill="DEEAF6" w:themeFill="accent1" w:themeFillTint="33"/>
            <w:noWrap/>
            <w:vAlign w:val="center"/>
            <w:hideMark/>
          </w:tcPr>
          <w:p w14:paraId="5171E21A"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SW a Aplikácie - výstupné náklady</w:t>
            </w:r>
          </w:p>
        </w:tc>
        <w:tc>
          <w:tcPr>
            <w:tcW w:w="2126" w:type="dxa"/>
            <w:shd w:val="clear" w:color="auto" w:fill="auto"/>
            <w:noWrap/>
            <w:vAlign w:val="center"/>
            <w:hideMark/>
          </w:tcPr>
          <w:p w14:paraId="18FBEEA4" w14:textId="7BD5DD66"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8" w:type="dxa"/>
            <w:shd w:val="clear" w:color="auto" w:fill="auto"/>
            <w:noWrap/>
            <w:vAlign w:val="center"/>
            <w:hideMark/>
          </w:tcPr>
          <w:p w14:paraId="13FED256" w14:textId="569B8E82"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31D7EF08" w14:textId="28B70631"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8" w:type="dxa"/>
            <w:shd w:val="clear" w:color="auto" w:fill="auto"/>
            <w:noWrap/>
            <w:vAlign w:val="center"/>
            <w:hideMark/>
          </w:tcPr>
          <w:p w14:paraId="43F9CBD0" w14:textId="10754E09"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610CD675" w14:textId="7F3F66A3"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r>
      <w:tr w:rsidR="00CD1571" w:rsidRPr="00EF1CB7" w14:paraId="49589840" w14:textId="77777777" w:rsidTr="00EF1CB7">
        <w:trPr>
          <w:trHeight w:val="300"/>
        </w:trPr>
        <w:tc>
          <w:tcPr>
            <w:tcW w:w="2684" w:type="dxa"/>
            <w:shd w:val="clear" w:color="auto" w:fill="DEEAF6" w:themeFill="accent1" w:themeFillTint="33"/>
            <w:noWrap/>
            <w:vAlign w:val="center"/>
            <w:hideMark/>
          </w:tcPr>
          <w:p w14:paraId="6D0C867A"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HW sumár obstaranie</w:t>
            </w:r>
          </w:p>
        </w:tc>
        <w:tc>
          <w:tcPr>
            <w:tcW w:w="2126" w:type="dxa"/>
            <w:shd w:val="clear" w:color="auto" w:fill="auto"/>
            <w:noWrap/>
            <w:vAlign w:val="center"/>
            <w:hideMark/>
          </w:tcPr>
          <w:p w14:paraId="148FF88C" w14:textId="584E9A4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625 255</w:t>
            </w:r>
          </w:p>
        </w:tc>
        <w:tc>
          <w:tcPr>
            <w:tcW w:w="1098" w:type="dxa"/>
            <w:shd w:val="clear" w:color="auto" w:fill="auto"/>
            <w:noWrap/>
            <w:vAlign w:val="center"/>
            <w:hideMark/>
          </w:tcPr>
          <w:p w14:paraId="723EE102" w14:textId="5A826B9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625 255</w:t>
            </w:r>
          </w:p>
        </w:tc>
        <w:tc>
          <w:tcPr>
            <w:tcW w:w="1099" w:type="dxa"/>
            <w:shd w:val="clear" w:color="auto" w:fill="auto"/>
            <w:noWrap/>
            <w:vAlign w:val="center"/>
            <w:hideMark/>
          </w:tcPr>
          <w:p w14:paraId="714AF4DF" w14:textId="58675899"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8" w:type="dxa"/>
            <w:shd w:val="clear" w:color="auto" w:fill="auto"/>
            <w:noWrap/>
            <w:vAlign w:val="center"/>
            <w:hideMark/>
          </w:tcPr>
          <w:p w14:paraId="63A1059F" w14:textId="0FBEDB5F"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33619348" w14:textId="27F293AB"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r>
      <w:tr w:rsidR="00CD1571" w:rsidRPr="00EF1CB7" w14:paraId="4F669FBD" w14:textId="77777777" w:rsidTr="00EF1CB7">
        <w:trPr>
          <w:trHeight w:val="300"/>
        </w:trPr>
        <w:tc>
          <w:tcPr>
            <w:tcW w:w="2684" w:type="dxa"/>
            <w:shd w:val="clear" w:color="auto" w:fill="DEEAF6" w:themeFill="accent1" w:themeFillTint="33"/>
            <w:noWrap/>
            <w:vAlign w:val="center"/>
            <w:hideMark/>
          </w:tcPr>
          <w:p w14:paraId="66D5BA05"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HW sumár prevádzka</w:t>
            </w:r>
          </w:p>
        </w:tc>
        <w:tc>
          <w:tcPr>
            <w:tcW w:w="2126" w:type="dxa"/>
            <w:shd w:val="clear" w:color="auto" w:fill="auto"/>
            <w:noWrap/>
            <w:vAlign w:val="center"/>
            <w:hideMark/>
          </w:tcPr>
          <w:p w14:paraId="304E4BCD" w14:textId="2017DDE4"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1 012 914</w:t>
            </w:r>
          </w:p>
        </w:tc>
        <w:tc>
          <w:tcPr>
            <w:tcW w:w="1098" w:type="dxa"/>
            <w:shd w:val="clear" w:color="auto" w:fill="auto"/>
            <w:noWrap/>
            <w:vAlign w:val="center"/>
            <w:hideMark/>
          </w:tcPr>
          <w:p w14:paraId="46BEC639" w14:textId="4EA83457"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1FC74EE0" w14:textId="25ECD682"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112 546</w:t>
            </w:r>
          </w:p>
        </w:tc>
        <w:tc>
          <w:tcPr>
            <w:tcW w:w="1098" w:type="dxa"/>
            <w:shd w:val="clear" w:color="auto" w:fill="auto"/>
            <w:noWrap/>
            <w:vAlign w:val="center"/>
            <w:hideMark/>
          </w:tcPr>
          <w:p w14:paraId="3C29BCDE" w14:textId="09EDF818"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112 546</w:t>
            </w:r>
          </w:p>
        </w:tc>
        <w:tc>
          <w:tcPr>
            <w:tcW w:w="1099" w:type="dxa"/>
            <w:shd w:val="clear" w:color="auto" w:fill="auto"/>
            <w:noWrap/>
            <w:vAlign w:val="center"/>
            <w:hideMark/>
          </w:tcPr>
          <w:p w14:paraId="283F7428" w14:textId="09537369"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112 546</w:t>
            </w:r>
          </w:p>
        </w:tc>
      </w:tr>
      <w:tr w:rsidR="00CD1571" w:rsidRPr="00EF1CB7" w14:paraId="52DA1469" w14:textId="77777777" w:rsidTr="00EF1CB7">
        <w:trPr>
          <w:trHeight w:val="315"/>
        </w:trPr>
        <w:tc>
          <w:tcPr>
            <w:tcW w:w="2684" w:type="dxa"/>
            <w:shd w:val="clear" w:color="auto" w:fill="DEEAF6" w:themeFill="accent1" w:themeFillTint="33"/>
            <w:noWrap/>
            <w:vAlign w:val="center"/>
            <w:hideMark/>
          </w:tcPr>
          <w:p w14:paraId="2F0B00F5" w14:textId="77777777" w:rsidR="00CD1571" w:rsidRPr="00EF1CB7" w:rsidRDefault="00CD1571" w:rsidP="00CD1571">
            <w:pPr>
              <w:spacing w:before="0" w:after="0" w:line="240" w:lineRule="auto"/>
              <w:jc w:val="left"/>
              <w:rPr>
                <w:rFonts w:asciiTheme="majorHAnsi" w:hAnsiTheme="majorHAnsi" w:cstheme="majorHAnsi"/>
                <w:sz w:val="18"/>
                <w:szCs w:val="18"/>
              </w:rPr>
            </w:pPr>
            <w:r w:rsidRPr="00EF1CB7">
              <w:rPr>
                <w:rFonts w:asciiTheme="majorHAnsi" w:hAnsiTheme="majorHAnsi" w:cstheme="majorHAnsi"/>
                <w:sz w:val="18"/>
                <w:szCs w:val="18"/>
              </w:rPr>
              <w:t>Riadenie projektu</w:t>
            </w:r>
          </w:p>
        </w:tc>
        <w:tc>
          <w:tcPr>
            <w:tcW w:w="2126" w:type="dxa"/>
            <w:shd w:val="clear" w:color="auto" w:fill="auto"/>
            <w:noWrap/>
            <w:vAlign w:val="center"/>
            <w:hideMark/>
          </w:tcPr>
          <w:p w14:paraId="5430950A" w14:textId="617F2995"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41 281</w:t>
            </w:r>
          </w:p>
        </w:tc>
        <w:tc>
          <w:tcPr>
            <w:tcW w:w="1098" w:type="dxa"/>
            <w:shd w:val="clear" w:color="auto" w:fill="auto"/>
            <w:noWrap/>
            <w:vAlign w:val="center"/>
            <w:hideMark/>
          </w:tcPr>
          <w:p w14:paraId="66D278E5" w14:textId="666B19EF"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41 281</w:t>
            </w:r>
          </w:p>
        </w:tc>
        <w:tc>
          <w:tcPr>
            <w:tcW w:w="1099" w:type="dxa"/>
            <w:shd w:val="clear" w:color="auto" w:fill="auto"/>
            <w:noWrap/>
            <w:vAlign w:val="center"/>
            <w:hideMark/>
          </w:tcPr>
          <w:p w14:paraId="3374E859" w14:textId="35CED9BD"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8" w:type="dxa"/>
            <w:shd w:val="clear" w:color="auto" w:fill="auto"/>
            <w:noWrap/>
            <w:vAlign w:val="center"/>
            <w:hideMark/>
          </w:tcPr>
          <w:p w14:paraId="27025B2D" w14:textId="5B84016C"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c>
          <w:tcPr>
            <w:tcW w:w="1099" w:type="dxa"/>
            <w:shd w:val="clear" w:color="auto" w:fill="auto"/>
            <w:noWrap/>
            <w:vAlign w:val="center"/>
            <w:hideMark/>
          </w:tcPr>
          <w:p w14:paraId="207093B5" w14:textId="72377D4C"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0</w:t>
            </w:r>
          </w:p>
        </w:tc>
      </w:tr>
      <w:tr w:rsidR="00CD1571" w:rsidRPr="00EF1CB7" w14:paraId="40DBC590" w14:textId="77777777" w:rsidTr="00EF1CB7">
        <w:trPr>
          <w:trHeight w:val="315"/>
        </w:trPr>
        <w:tc>
          <w:tcPr>
            <w:tcW w:w="2684" w:type="dxa"/>
            <w:shd w:val="clear" w:color="auto" w:fill="BDD6EE" w:themeFill="accent1" w:themeFillTint="66"/>
            <w:vAlign w:val="center"/>
            <w:hideMark/>
          </w:tcPr>
          <w:p w14:paraId="134DE620" w14:textId="77777777" w:rsidR="00CD1571" w:rsidRPr="00EF1CB7" w:rsidRDefault="00CD1571" w:rsidP="00CD1571">
            <w:pPr>
              <w:spacing w:before="0" w:after="0" w:line="240" w:lineRule="auto"/>
              <w:jc w:val="left"/>
              <w:rPr>
                <w:rFonts w:asciiTheme="majorHAnsi" w:hAnsiTheme="majorHAnsi" w:cstheme="majorHAnsi"/>
                <w:bCs/>
                <w:sz w:val="18"/>
                <w:szCs w:val="18"/>
              </w:rPr>
            </w:pPr>
            <w:r w:rsidRPr="00EF1CB7">
              <w:rPr>
                <w:rFonts w:asciiTheme="majorHAnsi" w:hAnsiTheme="majorHAnsi" w:cstheme="majorHAnsi"/>
                <w:bCs/>
                <w:sz w:val="18"/>
                <w:szCs w:val="18"/>
              </w:rPr>
              <w:t xml:space="preserve">Spolu </w:t>
            </w:r>
          </w:p>
        </w:tc>
        <w:tc>
          <w:tcPr>
            <w:tcW w:w="2126" w:type="dxa"/>
            <w:shd w:val="clear" w:color="auto" w:fill="BDD6EE" w:themeFill="accent1" w:themeFillTint="66"/>
            <w:noWrap/>
            <w:vAlign w:val="center"/>
            <w:hideMark/>
          </w:tcPr>
          <w:p w14:paraId="2E821545" w14:textId="55CED07B"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8 305 511</w:t>
            </w:r>
          </w:p>
        </w:tc>
        <w:tc>
          <w:tcPr>
            <w:tcW w:w="1098" w:type="dxa"/>
            <w:shd w:val="clear" w:color="auto" w:fill="BDD6EE" w:themeFill="accent1" w:themeFillTint="66"/>
            <w:noWrap/>
            <w:vAlign w:val="center"/>
            <w:hideMark/>
          </w:tcPr>
          <w:p w14:paraId="4F76C205" w14:textId="5D1330D4"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3 577 997</w:t>
            </w:r>
          </w:p>
        </w:tc>
        <w:tc>
          <w:tcPr>
            <w:tcW w:w="1099" w:type="dxa"/>
            <w:shd w:val="clear" w:color="auto" w:fill="BDD6EE" w:themeFill="accent1" w:themeFillTint="66"/>
            <w:noWrap/>
            <w:vAlign w:val="center"/>
            <w:hideMark/>
          </w:tcPr>
          <w:p w14:paraId="19FE1E5F" w14:textId="444515C0"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525 279</w:t>
            </w:r>
          </w:p>
        </w:tc>
        <w:tc>
          <w:tcPr>
            <w:tcW w:w="1098" w:type="dxa"/>
            <w:shd w:val="clear" w:color="auto" w:fill="BDD6EE" w:themeFill="accent1" w:themeFillTint="66"/>
            <w:noWrap/>
            <w:vAlign w:val="center"/>
            <w:hideMark/>
          </w:tcPr>
          <w:p w14:paraId="44DFF336" w14:textId="29602D56"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525 279</w:t>
            </w:r>
          </w:p>
        </w:tc>
        <w:tc>
          <w:tcPr>
            <w:tcW w:w="1099" w:type="dxa"/>
            <w:shd w:val="clear" w:color="auto" w:fill="BDD6EE" w:themeFill="accent1" w:themeFillTint="66"/>
            <w:noWrap/>
            <w:vAlign w:val="center"/>
            <w:hideMark/>
          </w:tcPr>
          <w:p w14:paraId="5E822A25" w14:textId="69B7F3C3" w:rsidR="00CD1571" w:rsidRPr="00EF1CB7" w:rsidRDefault="00CD1571" w:rsidP="00CD1571">
            <w:pPr>
              <w:spacing w:before="0" w:after="0" w:line="240" w:lineRule="auto"/>
              <w:jc w:val="right"/>
              <w:rPr>
                <w:rFonts w:asciiTheme="majorHAnsi" w:hAnsiTheme="majorHAnsi" w:cstheme="majorHAnsi"/>
                <w:bCs/>
                <w:sz w:val="18"/>
                <w:szCs w:val="18"/>
              </w:rPr>
            </w:pPr>
            <w:r w:rsidRPr="009F5DEA">
              <w:rPr>
                <w:rFonts w:asciiTheme="majorHAnsi" w:hAnsiTheme="majorHAnsi" w:cstheme="majorHAnsi"/>
                <w:bCs/>
                <w:sz w:val="18"/>
                <w:szCs w:val="18"/>
              </w:rPr>
              <w:t>525 279</w:t>
            </w:r>
          </w:p>
        </w:tc>
      </w:tr>
    </w:tbl>
    <w:p w14:paraId="0651A73F" w14:textId="6922DAEF" w:rsidR="000F4004" w:rsidRPr="00EF1CB7" w:rsidRDefault="00D179B0" w:rsidP="009818CE">
      <w:pPr>
        <w:rPr>
          <w:i/>
          <w:sz w:val="16"/>
        </w:rPr>
      </w:pPr>
      <w:r w:rsidRPr="00EF1CB7">
        <w:rPr>
          <w:i/>
          <w:sz w:val="16"/>
        </w:rPr>
        <w:t xml:space="preserve">Zdroj: Príloha </w:t>
      </w:r>
      <w:r w:rsidRPr="00EF1CB7">
        <w:rPr>
          <w:i/>
          <w:sz w:val="16"/>
        </w:rPr>
        <w:fldChar w:fldCharType="begin"/>
      </w:r>
      <w:r w:rsidRPr="00EF1CB7">
        <w:rPr>
          <w:i/>
          <w:sz w:val="16"/>
        </w:rPr>
        <w:instrText xml:space="preserve"> REF _Ref79369997 \r \h </w:instrText>
      </w:r>
      <w:r>
        <w:rPr>
          <w:i/>
          <w:sz w:val="16"/>
        </w:rPr>
        <w:instrText xml:space="preserve"> \* MERGEFORMAT </w:instrText>
      </w:r>
      <w:r w:rsidRPr="00EF1CB7">
        <w:rPr>
          <w:i/>
          <w:sz w:val="16"/>
        </w:rPr>
      </w:r>
      <w:r w:rsidRPr="00EF1CB7">
        <w:rPr>
          <w:i/>
          <w:sz w:val="16"/>
        </w:rPr>
        <w:fldChar w:fldCharType="separate"/>
      </w:r>
      <w:r w:rsidR="00A86720">
        <w:rPr>
          <w:i/>
          <w:sz w:val="16"/>
        </w:rPr>
        <w:t>[3]</w:t>
      </w:r>
      <w:r w:rsidRPr="00EF1CB7">
        <w:rPr>
          <w:i/>
          <w:sz w:val="16"/>
        </w:rPr>
        <w:fldChar w:fldCharType="end"/>
      </w:r>
      <w:r w:rsidRPr="00EF1CB7">
        <w:rPr>
          <w:i/>
          <w:sz w:val="16"/>
        </w:rPr>
        <w:t>, hárok „TCO“</w:t>
      </w:r>
      <w:r>
        <w:rPr>
          <w:i/>
          <w:sz w:val="16"/>
        </w:rPr>
        <w:t>, tabuľka „</w:t>
      </w:r>
      <w:r w:rsidR="006F35CF">
        <w:rPr>
          <w:i/>
          <w:sz w:val="16"/>
        </w:rPr>
        <w:t>Náklady na budúce riešenie</w:t>
      </w:r>
      <w:r>
        <w:rPr>
          <w:i/>
          <w:sz w:val="16"/>
        </w:rPr>
        <w:t>“</w:t>
      </w:r>
      <w:r w:rsidRPr="00EF1CB7">
        <w:rPr>
          <w:i/>
          <w:sz w:val="16"/>
        </w:rPr>
        <w:t xml:space="preserve"> </w:t>
      </w:r>
    </w:p>
    <w:p w14:paraId="5305EA7D" w14:textId="43284521" w:rsidR="00D179B0" w:rsidRDefault="00D179B0" w:rsidP="009818CE"/>
    <w:p w14:paraId="39FC8246" w14:textId="64D1CD10" w:rsidR="00D179B0" w:rsidRDefault="00D179B0" w:rsidP="00D179B0">
      <w:pPr>
        <w:pStyle w:val="Caption"/>
      </w:pPr>
      <w:r>
        <w:fldChar w:fldCharType="begin"/>
      </w:r>
      <w:r>
        <w:instrText xml:space="preserve"> REF _Ref79370727 \h </w:instrText>
      </w:r>
      <w:r>
        <w:fldChar w:fldCharType="separate"/>
      </w:r>
      <w:r w:rsidR="00A86720">
        <w:t xml:space="preserve">Tab. </w:t>
      </w:r>
      <w:r w:rsidR="00A86720">
        <w:rPr>
          <w:noProof/>
        </w:rPr>
        <w:t>24</w:t>
      </w:r>
      <w:r w:rsidR="00A86720">
        <w:t xml:space="preserve"> - Celkové náklady na vlastníctvo IKT subsystému Rozhranie EETS</w:t>
      </w:r>
      <w:r>
        <w:fldChar w:fldCharType="end"/>
      </w:r>
      <w:r>
        <w:t xml:space="preserve"> (pokračovanie)</w:t>
      </w:r>
    </w:p>
    <w:tbl>
      <w:tblPr>
        <w:tblW w:w="920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left w:w="70" w:type="dxa"/>
          <w:right w:w="70" w:type="dxa"/>
        </w:tblCellMar>
        <w:tblLook w:val="04A0" w:firstRow="1" w:lastRow="0" w:firstColumn="1" w:lastColumn="0" w:noHBand="0" w:noVBand="1"/>
      </w:tblPr>
      <w:tblGrid>
        <w:gridCol w:w="2684"/>
        <w:gridCol w:w="1086"/>
        <w:gridCol w:w="1087"/>
        <w:gridCol w:w="1087"/>
        <w:gridCol w:w="1086"/>
        <w:gridCol w:w="1087"/>
        <w:gridCol w:w="1087"/>
      </w:tblGrid>
      <w:tr w:rsidR="000F4004" w:rsidRPr="005F67BA" w14:paraId="09CCC590" w14:textId="77777777" w:rsidTr="00EF1CB7">
        <w:trPr>
          <w:trHeight w:val="300"/>
        </w:trPr>
        <w:tc>
          <w:tcPr>
            <w:tcW w:w="2684" w:type="dxa"/>
            <w:shd w:val="clear" w:color="auto" w:fill="BDD6EE" w:themeFill="accent1" w:themeFillTint="66"/>
            <w:noWrap/>
            <w:vAlign w:val="center"/>
            <w:hideMark/>
          </w:tcPr>
          <w:p w14:paraId="5A9FBCF5" w14:textId="77777777" w:rsidR="000F4004" w:rsidRPr="005F67BA" w:rsidRDefault="000F4004" w:rsidP="00EF1CB7">
            <w:pPr>
              <w:spacing w:before="0" w:after="0" w:line="240" w:lineRule="auto"/>
              <w:jc w:val="center"/>
              <w:rPr>
                <w:rFonts w:asciiTheme="majorHAnsi" w:hAnsiTheme="majorHAnsi" w:cstheme="majorHAnsi"/>
                <w:bCs/>
                <w:sz w:val="18"/>
                <w:szCs w:val="18"/>
              </w:rPr>
            </w:pPr>
            <w:r w:rsidRPr="005F67BA">
              <w:rPr>
                <w:rFonts w:asciiTheme="majorHAnsi" w:hAnsiTheme="majorHAnsi" w:cstheme="majorHAnsi"/>
                <w:bCs/>
                <w:sz w:val="18"/>
                <w:szCs w:val="18"/>
              </w:rPr>
              <w:t>TO BE</w:t>
            </w:r>
          </w:p>
        </w:tc>
        <w:tc>
          <w:tcPr>
            <w:tcW w:w="1086" w:type="dxa"/>
            <w:shd w:val="clear" w:color="auto" w:fill="BDD6EE" w:themeFill="accent1" w:themeFillTint="66"/>
            <w:vAlign w:val="center"/>
            <w:hideMark/>
          </w:tcPr>
          <w:p w14:paraId="72251443" w14:textId="77777777" w:rsidR="000F4004" w:rsidRPr="005F67BA" w:rsidRDefault="000F4004" w:rsidP="00EF1CB7">
            <w:pPr>
              <w:spacing w:before="0" w:after="0" w:line="240" w:lineRule="auto"/>
              <w:jc w:val="center"/>
              <w:rPr>
                <w:rFonts w:asciiTheme="majorHAnsi" w:hAnsiTheme="majorHAnsi" w:cstheme="majorHAnsi"/>
                <w:sz w:val="18"/>
                <w:szCs w:val="18"/>
              </w:rPr>
            </w:pPr>
            <w:r w:rsidRPr="005F67BA">
              <w:rPr>
                <w:rFonts w:asciiTheme="majorHAnsi" w:hAnsiTheme="majorHAnsi" w:cstheme="majorHAnsi"/>
                <w:sz w:val="18"/>
                <w:szCs w:val="18"/>
              </w:rPr>
              <w:t>t5</w:t>
            </w:r>
          </w:p>
        </w:tc>
        <w:tc>
          <w:tcPr>
            <w:tcW w:w="1087" w:type="dxa"/>
            <w:shd w:val="clear" w:color="auto" w:fill="BDD6EE" w:themeFill="accent1" w:themeFillTint="66"/>
            <w:vAlign w:val="center"/>
            <w:hideMark/>
          </w:tcPr>
          <w:p w14:paraId="13874FBE" w14:textId="77777777" w:rsidR="000F4004" w:rsidRPr="005F67BA" w:rsidRDefault="000F4004" w:rsidP="00EF1CB7">
            <w:pPr>
              <w:spacing w:before="0" w:after="0" w:line="240" w:lineRule="auto"/>
              <w:jc w:val="center"/>
              <w:rPr>
                <w:rFonts w:asciiTheme="majorHAnsi" w:hAnsiTheme="majorHAnsi" w:cstheme="majorHAnsi"/>
                <w:sz w:val="18"/>
                <w:szCs w:val="18"/>
              </w:rPr>
            </w:pPr>
            <w:r w:rsidRPr="005F67BA">
              <w:rPr>
                <w:rFonts w:asciiTheme="majorHAnsi" w:hAnsiTheme="majorHAnsi" w:cstheme="majorHAnsi"/>
                <w:sz w:val="18"/>
                <w:szCs w:val="18"/>
              </w:rPr>
              <w:t>t6</w:t>
            </w:r>
          </w:p>
        </w:tc>
        <w:tc>
          <w:tcPr>
            <w:tcW w:w="1087" w:type="dxa"/>
            <w:shd w:val="clear" w:color="auto" w:fill="BDD6EE" w:themeFill="accent1" w:themeFillTint="66"/>
            <w:vAlign w:val="center"/>
            <w:hideMark/>
          </w:tcPr>
          <w:p w14:paraId="490AFA2C" w14:textId="77777777" w:rsidR="000F4004" w:rsidRPr="005F67BA" w:rsidRDefault="000F4004" w:rsidP="00EF1CB7">
            <w:pPr>
              <w:spacing w:before="0" w:after="0" w:line="240" w:lineRule="auto"/>
              <w:jc w:val="center"/>
              <w:rPr>
                <w:rFonts w:asciiTheme="majorHAnsi" w:hAnsiTheme="majorHAnsi" w:cstheme="majorHAnsi"/>
                <w:sz w:val="18"/>
                <w:szCs w:val="18"/>
              </w:rPr>
            </w:pPr>
            <w:r w:rsidRPr="005F67BA">
              <w:rPr>
                <w:rFonts w:asciiTheme="majorHAnsi" w:hAnsiTheme="majorHAnsi" w:cstheme="majorHAnsi"/>
                <w:sz w:val="18"/>
                <w:szCs w:val="18"/>
              </w:rPr>
              <w:t>t7</w:t>
            </w:r>
          </w:p>
        </w:tc>
        <w:tc>
          <w:tcPr>
            <w:tcW w:w="1086" w:type="dxa"/>
            <w:shd w:val="clear" w:color="auto" w:fill="BDD6EE" w:themeFill="accent1" w:themeFillTint="66"/>
            <w:vAlign w:val="center"/>
            <w:hideMark/>
          </w:tcPr>
          <w:p w14:paraId="452C5522" w14:textId="77777777" w:rsidR="000F4004" w:rsidRPr="005F67BA" w:rsidRDefault="000F4004" w:rsidP="00EF1CB7">
            <w:pPr>
              <w:spacing w:before="0" w:after="0" w:line="240" w:lineRule="auto"/>
              <w:jc w:val="center"/>
              <w:rPr>
                <w:rFonts w:asciiTheme="majorHAnsi" w:hAnsiTheme="majorHAnsi" w:cstheme="majorHAnsi"/>
                <w:sz w:val="18"/>
                <w:szCs w:val="18"/>
              </w:rPr>
            </w:pPr>
            <w:r w:rsidRPr="005F67BA">
              <w:rPr>
                <w:rFonts w:asciiTheme="majorHAnsi" w:hAnsiTheme="majorHAnsi" w:cstheme="majorHAnsi"/>
                <w:sz w:val="18"/>
                <w:szCs w:val="18"/>
              </w:rPr>
              <w:t>t8</w:t>
            </w:r>
          </w:p>
        </w:tc>
        <w:tc>
          <w:tcPr>
            <w:tcW w:w="1087" w:type="dxa"/>
            <w:shd w:val="clear" w:color="auto" w:fill="BDD6EE" w:themeFill="accent1" w:themeFillTint="66"/>
            <w:vAlign w:val="center"/>
            <w:hideMark/>
          </w:tcPr>
          <w:p w14:paraId="50CAC973" w14:textId="77777777" w:rsidR="000F4004" w:rsidRPr="005F67BA" w:rsidRDefault="000F4004" w:rsidP="00EF1CB7">
            <w:pPr>
              <w:spacing w:before="0" w:after="0" w:line="240" w:lineRule="auto"/>
              <w:jc w:val="center"/>
              <w:rPr>
                <w:rFonts w:asciiTheme="majorHAnsi" w:hAnsiTheme="majorHAnsi" w:cstheme="majorHAnsi"/>
                <w:sz w:val="18"/>
                <w:szCs w:val="18"/>
              </w:rPr>
            </w:pPr>
            <w:r w:rsidRPr="005F67BA">
              <w:rPr>
                <w:rFonts w:asciiTheme="majorHAnsi" w:hAnsiTheme="majorHAnsi" w:cstheme="majorHAnsi"/>
                <w:sz w:val="18"/>
                <w:szCs w:val="18"/>
              </w:rPr>
              <w:t>t9</w:t>
            </w:r>
          </w:p>
        </w:tc>
        <w:tc>
          <w:tcPr>
            <w:tcW w:w="1087" w:type="dxa"/>
            <w:shd w:val="clear" w:color="auto" w:fill="BDD6EE" w:themeFill="accent1" w:themeFillTint="66"/>
            <w:vAlign w:val="center"/>
            <w:hideMark/>
          </w:tcPr>
          <w:p w14:paraId="0E9F214A" w14:textId="77777777" w:rsidR="000F4004" w:rsidRPr="005F67BA" w:rsidRDefault="000F4004" w:rsidP="00EF1CB7">
            <w:pPr>
              <w:spacing w:before="0" w:after="0" w:line="240" w:lineRule="auto"/>
              <w:jc w:val="center"/>
              <w:rPr>
                <w:rFonts w:asciiTheme="majorHAnsi" w:hAnsiTheme="majorHAnsi" w:cstheme="majorHAnsi"/>
                <w:sz w:val="18"/>
                <w:szCs w:val="18"/>
              </w:rPr>
            </w:pPr>
            <w:r w:rsidRPr="005F67BA">
              <w:rPr>
                <w:rFonts w:asciiTheme="majorHAnsi" w:hAnsiTheme="majorHAnsi" w:cstheme="majorHAnsi"/>
                <w:sz w:val="18"/>
                <w:szCs w:val="18"/>
              </w:rPr>
              <w:t>t10</w:t>
            </w:r>
          </w:p>
        </w:tc>
      </w:tr>
      <w:tr w:rsidR="00CD1571" w:rsidRPr="005F67BA" w14:paraId="51100581" w14:textId="77777777" w:rsidTr="00EF1CB7">
        <w:trPr>
          <w:trHeight w:val="300"/>
        </w:trPr>
        <w:tc>
          <w:tcPr>
            <w:tcW w:w="2684" w:type="dxa"/>
            <w:shd w:val="clear" w:color="auto" w:fill="DEEAF6" w:themeFill="accent1" w:themeFillTint="33"/>
            <w:noWrap/>
            <w:vAlign w:val="center"/>
            <w:hideMark/>
          </w:tcPr>
          <w:p w14:paraId="0FC3E933"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SW produkty - sumár obstaranie</w:t>
            </w:r>
          </w:p>
        </w:tc>
        <w:tc>
          <w:tcPr>
            <w:tcW w:w="1086" w:type="dxa"/>
            <w:shd w:val="clear" w:color="auto" w:fill="auto"/>
            <w:noWrap/>
            <w:vAlign w:val="center"/>
            <w:hideMark/>
          </w:tcPr>
          <w:p w14:paraId="39C9B5CD" w14:textId="510F708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0A503A24" w14:textId="585CF27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42D32130" w14:textId="00CD952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6" w:type="dxa"/>
            <w:shd w:val="clear" w:color="auto" w:fill="auto"/>
            <w:noWrap/>
            <w:vAlign w:val="center"/>
            <w:hideMark/>
          </w:tcPr>
          <w:p w14:paraId="38AD0B6D" w14:textId="69DF79D7"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619C1808" w14:textId="3D521F4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3C52D707" w14:textId="1287850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36E0C960" w14:textId="77777777" w:rsidTr="00EF1CB7">
        <w:trPr>
          <w:trHeight w:val="300"/>
        </w:trPr>
        <w:tc>
          <w:tcPr>
            <w:tcW w:w="2684" w:type="dxa"/>
            <w:shd w:val="clear" w:color="auto" w:fill="DEEAF6" w:themeFill="accent1" w:themeFillTint="33"/>
            <w:noWrap/>
            <w:vAlign w:val="center"/>
            <w:hideMark/>
          </w:tcPr>
          <w:p w14:paraId="6EAFF728"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SW produkty - sumár prevádzka</w:t>
            </w:r>
          </w:p>
        </w:tc>
        <w:tc>
          <w:tcPr>
            <w:tcW w:w="1086" w:type="dxa"/>
            <w:shd w:val="clear" w:color="auto" w:fill="auto"/>
            <w:noWrap/>
            <w:vAlign w:val="center"/>
            <w:hideMark/>
          </w:tcPr>
          <w:p w14:paraId="7757FF6A" w14:textId="7406E58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87" w:type="dxa"/>
            <w:shd w:val="clear" w:color="auto" w:fill="auto"/>
            <w:noWrap/>
            <w:vAlign w:val="center"/>
            <w:hideMark/>
          </w:tcPr>
          <w:p w14:paraId="05EE8950" w14:textId="47A1897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87" w:type="dxa"/>
            <w:shd w:val="clear" w:color="auto" w:fill="auto"/>
            <w:noWrap/>
            <w:vAlign w:val="center"/>
            <w:hideMark/>
          </w:tcPr>
          <w:p w14:paraId="2B1662A8" w14:textId="1B24B25E"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86" w:type="dxa"/>
            <w:shd w:val="clear" w:color="auto" w:fill="auto"/>
            <w:noWrap/>
            <w:vAlign w:val="center"/>
            <w:hideMark/>
          </w:tcPr>
          <w:p w14:paraId="14D3A166" w14:textId="69DB82D5"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87" w:type="dxa"/>
            <w:shd w:val="clear" w:color="auto" w:fill="auto"/>
            <w:noWrap/>
            <w:vAlign w:val="center"/>
            <w:hideMark/>
          </w:tcPr>
          <w:p w14:paraId="15E37BC8" w14:textId="2537188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87" w:type="dxa"/>
            <w:shd w:val="clear" w:color="auto" w:fill="auto"/>
            <w:noWrap/>
            <w:vAlign w:val="center"/>
            <w:hideMark/>
          </w:tcPr>
          <w:p w14:paraId="53106433" w14:textId="4DB56D4E"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r>
      <w:tr w:rsidR="00CD1571" w:rsidRPr="005F67BA" w14:paraId="463BDF39" w14:textId="77777777" w:rsidTr="00EF1CB7">
        <w:trPr>
          <w:trHeight w:val="300"/>
        </w:trPr>
        <w:tc>
          <w:tcPr>
            <w:tcW w:w="2684" w:type="dxa"/>
            <w:shd w:val="clear" w:color="auto" w:fill="DEEAF6" w:themeFill="accent1" w:themeFillTint="33"/>
            <w:noWrap/>
            <w:vAlign w:val="center"/>
            <w:hideMark/>
          </w:tcPr>
          <w:p w14:paraId="689A4156"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Aplikácie - sumár obstaranie</w:t>
            </w:r>
          </w:p>
        </w:tc>
        <w:tc>
          <w:tcPr>
            <w:tcW w:w="1086" w:type="dxa"/>
            <w:shd w:val="clear" w:color="auto" w:fill="auto"/>
            <w:noWrap/>
            <w:vAlign w:val="center"/>
            <w:hideMark/>
          </w:tcPr>
          <w:p w14:paraId="3108AB9E" w14:textId="442F16E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34AC98D4" w14:textId="5D8DDC3A"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5C6FBAFB" w14:textId="26468E24"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6" w:type="dxa"/>
            <w:shd w:val="clear" w:color="auto" w:fill="auto"/>
            <w:noWrap/>
            <w:vAlign w:val="center"/>
            <w:hideMark/>
          </w:tcPr>
          <w:p w14:paraId="45651157" w14:textId="7BC7B23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51570E7F" w14:textId="370D28E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13D3FA74" w14:textId="0EE7B51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737CAA19" w14:textId="77777777" w:rsidTr="00EF1CB7">
        <w:trPr>
          <w:trHeight w:val="300"/>
        </w:trPr>
        <w:tc>
          <w:tcPr>
            <w:tcW w:w="2684" w:type="dxa"/>
            <w:shd w:val="clear" w:color="auto" w:fill="DEEAF6" w:themeFill="accent1" w:themeFillTint="33"/>
            <w:noWrap/>
            <w:vAlign w:val="center"/>
            <w:hideMark/>
          </w:tcPr>
          <w:p w14:paraId="01EF788F"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Aplikácie - sumár prevádzka</w:t>
            </w:r>
          </w:p>
        </w:tc>
        <w:tc>
          <w:tcPr>
            <w:tcW w:w="1086" w:type="dxa"/>
            <w:shd w:val="clear" w:color="auto" w:fill="auto"/>
            <w:noWrap/>
            <w:vAlign w:val="center"/>
            <w:hideMark/>
          </w:tcPr>
          <w:p w14:paraId="53FC763A" w14:textId="6A1ACE2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87" w:type="dxa"/>
            <w:shd w:val="clear" w:color="auto" w:fill="auto"/>
            <w:noWrap/>
            <w:vAlign w:val="center"/>
            <w:hideMark/>
          </w:tcPr>
          <w:p w14:paraId="17507BB8" w14:textId="2164959A"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87" w:type="dxa"/>
            <w:shd w:val="clear" w:color="auto" w:fill="auto"/>
            <w:noWrap/>
            <w:vAlign w:val="center"/>
            <w:hideMark/>
          </w:tcPr>
          <w:p w14:paraId="05A703DC" w14:textId="2ACBF51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86" w:type="dxa"/>
            <w:shd w:val="clear" w:color="auto" w:fill="auto"/>
            <w:noWrap/>
            <w:vAlign w:val="center"/>
            <w:hideMark/>
          </w:tcPr>
          <w:p w14:paraId="734BC35E" w14:textId="6D86130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87" w:type="dxa"/>
            <w:shd w:val="clear" w:color="auto" w:fill="auto"/>
            <w:noWrap/>
            <w:vAlign w:val="center"/>
            <w:hideMark/>
          </w:tcPr>
          <w:p w14:paraId="3C92F30C" w14:textId="4B95AD31"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87" w:type="dxa"/>
            <w:shd w:val="clear" w:color="auto" w:fill="auto"/>
            <w:noWrap/>
            <w:vAlign w:val="center"/>
            <w:hideMark/>
          </w:tcPr>
          <w:p w14:paraId="6C82DD9C" w14:textId="4822182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r>
      <w:tr w:rsidR="00CD1571" w:rsidRPr="005F67BA" w14:paraId="448552D3" w14:textId="77777777" w:rsidTr="00EF1CB7">
        <w:trPr>
          <w:trHeight w:val="300"/>
        </w:trPr>
        <w:tc>
          <w:tcPr>
            <w:tcW w:w="2684" w:type="dxa"/>
            <w:shd w:val="clear" w:color="auto" w:fill="DEEAF6" w:themeFill="accent1" w:themeFillTint="33"/>
            <w:noWrap/>
            <w:vAlign w:val="center"/>
            <w:hideMark/>
          </w:tcPr>
          <w:p w14:paraId="109667D0"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SW a Aplikácie - výstupné náklady</w:t>
            </w:r>
          </w:p>
        </w:tc>
        <w:tc>
          <w:tcPr>
            <w:tcW w:w="1086" w:type="dxa"/>
            <w:shd w:val="clear" w:color="auto" w:fill="auto"/>
            <w:noWrap/>
            <w:vAlign w:val="center"/>
            <w:hideMark/>
          </w:tcPr>
          <w:p w14:paraId="41EDA72C" w14:textId="5F046FF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5533146E" w14:textId="48486FF5"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23A3AAD0" w14:textId="1DFBF54E"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6" w:type="dxa"/>
            <w:shd w:val="clear" w:color="auto" w:fill="auto"/>
            <w:noWrap/>
            <w:vAlign w:val="center"/>
            <w:hideMark/>
          </w:tcPr>
          <w:p w14:paraId="58DCA1C9" w14:textId="65FE6901"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23378D03" w14:textId="6C0F49F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252982A2" w14:textId="21966E11"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08A1249C" w14:textId="77777777" w:rsidTr="00EF1CB7">
        <w:trPr>
          <w:trHeight w:val="300"/>
        </w:trPr>
        <w:tc>
          <w:tcPr>
            <w:tcW w:w="2684" w:type="dxa"/>
            <w:shd w:val="clear" w:color="auto" w:fill="DEEAF6" w:themeFill="accent1" w:themeFillTint="33"/>
            <w:noWrap/>
            <w:vAlign w:val="center"/>
            <w:hideMark/>
          </w:tcPr>
          <w:p w14:paraId="49C7378D"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HW sumár obstaranie</w:t>
            </w:r>
          </w:p>
        </w:tc>
        <w:tc>
          <w:tcPr>
            <w:tcW w:w="1086" w:type="dxa"/>
            <w:shd w:val="clear" w:color="auto" w:fill="auto"/>
            <w:noWrap/>
            <w:vAlign w:val="center"/>
            <w:hideMark/>
          </w:tcPr>
          <w:p w14:paraId="0B3BA035" w14:textId="23093F1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097DBC57" w14:textId="34C6490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37AF1A17" w14:textId="35ED163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6" w:type="dxa"/>
            <w:shd w:val="clear" w:color="auto" w:fill="auto"/>
            <w:noWrap/>
            <w:vAlign w:val="center"/>
            <w:hideMark/>
          </w:tcPr>
          <w:p w14:paraId="5388BEF1" w14:textId="637A396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4012148B" w14:textId="62F94D8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10AAEF0B" w14:textId="112032D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2E33BAA5" w14:textId="77777777" w:rsidTr="00EF1CB7">
        <w:trPr>
          <w:trHeight w:val="300"/>
        </w:trPr>
        <w:tc>
          <w:tcPr>
            <w:tcW w:w="2684" w:type="dxa"/>
            <w:shd w:val="clear" w:color="auto" w:fill="DEEAF6" w:themeFill="accent1" w:themeFillTint="33"/>
            <w:noWrap/>
            <w:vAlign w:val="center"/>
            <w:hideMark/>
          </w:tcPr>
          <w:p w14:paraId="29061D36"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HW sumár prevádzka</w:t>
            </w:r>
          </w:p>
        </w:tc>
        <w:tc>
          <w:tcPr>
            <w:tcW w:w="1086" w:type="dxa"/>
            <w:shd w:val="clear" w:color="auto" w:fill="auto"/>
            <w:noWrap/>
            <w:vAlign w:val="center"/>
            <w:hideMark/>
          </w:tcPr>
          <w:p w14:paraId="1FF71D5B" w14:textId="1B4A8905"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87" w:type="dxa"/>
            <w:shd w:val="clear" w:color="auto" w:fill="auto"/>
            <w:noWrap/>
            <w:vAlign w:val="center"/>
            <w:hideMark/>
          </w:tcPr>
          <w:p w14:paraId="662DDD83" w14:textId="1577396B"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87" w:type="dxa"/>
            <w:shd w:val="clear" w:color="auto" w:fill="auto"/>
            <w:noWrap/>
            <w:vAlign w:val="center"/>
            <w:hideMark/>
          </w:tcPr>
          <w:p w14:paraId="0897D6F1" w14:textId="19E284FB"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86" w:type="dxa"/>
            <w:shd w:val="clear" w:color="auto" w:fill="auto"/>
            <w:noWrap/>
            <w:vAlign w:val="center"/>
            <w:hideMark/>
          </w:tcPr>
          <w:p w14:paraId="441D81B0" w14:textId="00C5A01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87" w:type="dxa"/>
            <w:shd w:val="clear" w:color="auto" w:fill="auto"/>
            <w:noWrap/>
            <w:vAlign w:val="center"/>
            <w:hideMark/>
          </w:tcPr>
          <w:p w14:paraId="3B05283C" w14:textId="389C0F77"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87" w:type="dxa"/>
            <w:shd w:val="clear" w:color="auto" w:fill="auto"/>
            <w:noWrap/>
            <w:vAlign w:val="center"/>
            <w:hideMark/>
          </w:tcPr>
          <w:p w14:paraId="4FE563D5" w14:textId="560A120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r>
      <w:tr w:rsidR="00CD1571" w:rsidRPr="005F67BA" w14:paraId="7FE92D41" w14:textId="77777777" w:rsidTr="00EF1CB7">
        <w:trPr>
          <w:trHeight w:val="315"/>
        </w:trPr>
        <w:tc>
          <w:tcPr>
            <w:tcW w:w="2684" w:type="dxa"/>
            <w:shd w:val="clear" w:color="auto" w:fill="DEEAF6" w:themeFill="accent1" w:themeFillTint="33"/>
            <w:noWrap/>
            <w:vAlign w:val="center"/>
            <w:hideMark/>
          </w:tcPr>
          <w:p w14:paraId="118C24BC"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Riadenie projektu</w:t>
            </w:r>
          </w:p>
        </w:tc>
        <w:tc>
          <w:tcPr>
            <w:tcW w:w="1086" w:type="dxa"/>
            <w:shd w:val="clear" w:color="auto" w:fill="auto"/>
            <w:noWrap/>
            <w:vAlign w:val="center"/>
            <w:hideMark/>
          </w:tcPr>
          <w:p w14:paraId="06FAC215" w14:textId="5B62C55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5CF4561A" w14:textId="7739DE9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2497FF4F" w14:textId="021E33D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6" w:type="dxa"/>
            <w:shd w:val="clear" w:color="auto" w:fill="auto"/>
            <w:noWrap/>
            <w:vAlign w:val="center"/>
            <w:hideMark/>
          </w:tcPr>
          <w:p w14:paraId="762A47B2" w14:textId="5BB7438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4F0D7B3D" w14:textId="20A6610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87" w:type="dxa"/>
            <w:shd w:val="clear" w:color="auto" w:fill="auto"/>
            <w:noWrap/>
            <w:vAlign w:val="center"/>
            <w:hideMark/>
          </w:tcPr>
          <w:p w14:paraId="533DAB80" w14:textId="29E4D88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3520884C" w14:textId="77777777" w:rsidTr="00EF1CB7">
        <w:trPr>
          <w:trHeight w:val="315"/>
        </w:trPr>
        <w:tc>
          <w:tcPr>
            <w:tcW w:w="2684" w:type="dxa"/>
            <w:shd w:val="clear" w:color="auto" w:fill="BDD6EE" w:themeFill="accent1" w:themeFillTint="66"/>
            <w:vAlign w:val="center"/>
            <w:hideMark/>
          </w:tcPr>
          <w:p w14:paraId="2F7A1C10" w14:textId="77777777" w:rsidR="00CD1571" w:rsidRPr="005F67BA" w:rsidRDefault="00CD1571" w:rsidP="00CD1571">
            <w:pPr>
              <w:spacing w:before="0" w:after="0" w:line="240" w:lineRule="auto"/>
              <w:jc w:val="left"/>
              <w:rPr>
                <w:rFonts w:asciiTheme="majorHAnsi" w:hAnsiTheme="majorHAnsi" w:cstheme="majorHAnsi"/>
                <w:bCs/>
                <w:sz w:val="18"/>
                <w:szCs w:val="18"/>
              </w:rPr>
            </w:pPr>
            <w:r w:rsidRPr="005F67BA">
              <w:rPr>
                <w:rFonts w:asciiTheme="majorHAnsi" w:hAnsiTheme="majorHAnsi" w:cstheme="majorHAnsi"/>
                <w:bCs/>
                <w:sz w:val="18"/>
                <w:szCs w:val="18"/>
              </w:rPr>
              <w:t xml:space="preserve">Spolu </w:t>
            </w:r>
          </w:p>
        </w:tc>
        <w:tc>
          <w:tcPr>
            <w:tcW w:w="1086" w:type="dxa"/>
            <w:shd w:val="clear" w:color="auto" w:fill="BDD6EE" w:themeFill="accent1" w:themeFillTint="66"/>
            <w:noWrap/>
            <w:vAlign w:val="center"/>
            <w:hideMark/>
          </w:tcPr>
          <w:p w14:paraId="5B6358AB" w14:textId="4B53997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87" w:type="dxa"/>
            <w:shd w:val="clear" w:color="auto" w:fill="BDD6EE" w:themeFill="accent1" w:themeFillTint="66"/>
            <w:noWrap/>
            <w:vAlign w:val="center"/>
            <w:hideMark/>
          </w:tcPr>
          <w:p w14:paraId="0D4D90C2" w14:textId="6133760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87" w:type="dxa"/>
            <w:shd w:val="clear" w:color="auto" w:fill="BDD6EE" w:themeFill="accent1" w:themeFillTint="66"/>
            <w:noWrap/>
            <w:vAlign w:val="center"/>
            <w:hideMark/>
          </w:tcPr>
          <w:p w14:paraId="73B726E2" w14:textId="0E4481F4"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86" w:type="dxa"/>
            <w:shd w:val="clear" w:color="auto" w:fill="BDD6EE" w:themeFill="accent1" w:themeFillTint="66"/>
            <w:noWrap/>
            <w:vAlign w:val="center"/>
            <w:hideMark/>
          </w:tcPr>
          <w:p w14:paraId="545BA615" w14:textId="753A2E1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87" w:type="dxa"/>
            <w:shd w:val="clear" w:color="auto" w:fill="BDD6EE" w:themeFill="accent1" w:themeFillTint="66"/>
            <w:noWrap/>
            <w:vAlign w:val="center"/>
            <w:hideMark/>
          </w:tcPr>
          <w:p w14:paraId="5AFF68BE" w14:textId="54069732"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87" w:type="dxa"/>
            <w:shd w:val="clear" w:color="auto" w:fill="BDD6EE" w:themeFill="accent1" w:themeFillTint="66"/>
            <w:noWrap/>
            <w:vAlign w:val="center"/>
            <w:hideMark/>
          </w:tcPr>
          <w:p w14:paraId="13621732" w14:textId="1BE34297"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r>
    </w:tbl>
    <w:p w14:paraId="312BA32C" w14:textId="1ECBE1D5" w:rsidR="00D179B0" w:rsidRPr="005F67BA" w:rsidRDefault="00D179B0" w:rsidP="00D179B0">
      <w:pPr>
        <w:rPr>
          <w:i/>
          <w:sz w:val="16"/>
        </w:rPr>
      </w:pPr>
      <w:r w:rsidRPr="005F67BA">
        <w:rPr>
          <w:i/>
          <w:sz w:val="16"/>
        </w:rPr>
        <w:t xml:space="preserve">Zdroj: Príloha </w:t>
      </w:r>
      <w:r w:rsidRPr="005F67BA">
        <w:rPr>
          <w:i/>
          <w:sz w:val="16"/>
        </w:rPr>
        <w:fldChar w:fldCharType="begin"/>
      </w:r>
      <w:r w:rsidRPr="005F67BA">
        <w:rPr>
          <w:i/>
          <w:sz w:val="16"/>
        </w:rPr>
        <w:instrText xml:space="preserve"> REF _Ref79369997 \r \h </w:instrText>
      </w:r>
      <w:r>
        <w:rPr>
          <w:i/>
          <w:sz w:val="16"/>
        </w:rPr>
        <w:instrText xml:space="preserve"> \* MERGEFORMAT </w:instrText>
      </w:r>
      <w:r w:rsidRPr="005F67BA">
        <w:rPr>
          <w:i/>
          <w:sz w:val="16"/>
        </w:rPr>
      </w:r>
      <w:r w:rsidRPr="005F67BA">
        <w:rPr>
          <w:i/>
          <w:sz w:val="16"/>
        </w:rPr>
        <w:fldChar w:fldCharType="separate"/>
      </w:r>
      <w:r w:rsidR="00A86720">
        <w:rPr>
          <w:i/>
          <w:sz w:val="16"/>
        </w:rPr>
        <w:t>[3]</w:t>
      </w:r>
      <w:r w:rsidRPr="005F67BA">
        <w:rPr>
          <w:i/>
          <w:sz w:val="16"/>
        </w:rPr>
        <w:fldChar w:fldCharType="end"/>
      </w:r>
      <w:r w:rsidRPr="005F67BA">
        <w:rPr>
          <w:i/>
          <w:sz w:val="16"/>
        </w:rPr>
        <w:t>, hárok „TCO“</w:t>
      </w:r>
      <w:r>
        <w:rPr>
          <w:i/>
          <w:sz w:val="16"/>
        </w:rPr>
        <w:t>, tabuľka „</w:t>
      </w:r>
      <w:r w:rsidR="006F35CF">
        <w:rPr>
          <w:i/>
          <w:sz w:val="16"/>
        </w:rPr>
        <w:t>Náklady na budúce riešenie“</w:t>
      </w:r>
      <w:r w:rsidRPr="005F67BA">
        <w:rPr>
          <w:i/>
          <w:sz w:val="16"/>
        </w:rPr>
        <w:t xml:space="preserve"> </w:t>
      </w:r>
    </w:p>
    <w:p w14:paraId="028BFE31" w14:textId="6EADD02E" w:rsidR="000F4004" w:rsidRDefault="000F4004" w:rsidP="009818CE"/>
    <w:p w14:paraId="1D186B1A" w14:textId="6FFB4DD2" w:rsidR="00C5330C" w:rsidRDefault="00C5330C" w:rsidP="00EF1CB7">
      <w:pPr>
        <w:pStyle w:val="Heading3"/>
      </w:pPr>
      <w:bookmarkStart w:id="128" w:name="_Toc87348741"/>
      <w:r>
        <w:t>Referenčné obdobie</w:t>
      </w:r>
      <w:bookmarkEnd w:id="128"/>
    </w:p>
    <w:p w14:paraId="16E55459" w14:textId="02F2F01A" w:rsidR="00C5330C" w:rsidRDefault="00C5330C" w:rsidP="00EF1CB7">
      <w:r>
        <w:t xml:space="preserve">Referenčné obdobie na hodnotenie komplexného projektu bolo stanovené na 64 mesiacov, pričom prevádzkovanie projektu trvá 60 mesiacov. Výsledky TCO analýzy podľa tohto čl. </w:t>
      </w:r>
      <w:r>
        <w:fldChar w:fldCharType="begin"/>
      </w:r>
      <w:r>
        <w:instrText xml:space="preserve"> REF _Ref79371278 \r \h </w:instrText>
      </w:r>
      <w:r>
        <w:fldChar w:fldCharType="separate"/>
      </w:r>
      <w:r w:rsidR="00A86720">
        <w:t>7.2</w:t>
      </w:r>
      <w:r>
        <w:fldChar w:fldCharType="end"/>
      </w:r>
      <w:r>
        <w:t xml:space="preserve"> budú prenesené (mapované) do jednotlivých rokov finančnej a ekonomickej analýzy </w:t>
      </w:r>
      <w:r w:rsidR="00B23DBD">
        <w:t xml:space="preserve">komplexného projektu </w:t>
      </w:r>
      <w:r>
        <w:t>nasledujúcim spôsobom:</w:t>
      </w:r>
    </w:p>
    <w:p w14:paraId="25D63B48" w14:textId="4B071BAA" w:rsidR="00C5330C" w:rsidRDefault="00C5330C" w:rsidP="00480B97">
      <w:pPr>
        <w:pStyle w:val="ListParagraph"/>
        <w:numPr>
          <w:ilvl w:val="1"/>
          <w:numId w:val="41"/>
        </w:numPr>
      </w:pPr>
      <w:r>
        <w:t>náklady TCO za obdobie „t1“ sa viažu k vybudovaniu IKT Rozhrania EETS a budú prenesené do CBA analýzy ako investičné náklady</w:t>
      </w:r>
    </w:p>
    <w:p w14:paraId="6ABD21D8" w14:textId="01E34079" w:rsidR="00C5330C" w:rsidRDefault="00C5330C" w:rsidP="00480B97">
      <w:pPr>
        <w:pStyle w:val="ListParagraph"/>
        <w:numPr>
          <w:ilvl w:val="1"/>
          <w:numId w:val="41"/>
        </w:numPr>
      </w:pPr>
      <w:r>
        <w:t xml:space="preserve">náklady TCO za obdobie „t2“ až „t6“ budú priradené k jednotlivým rokom prevádzky 2022 až </w:t>
      </w:r>
      <w:r w:rsidR="00D81D88">
        <w:t>2026.</w:t>
      </w:r>
    </w:p>
    <w:p w14:paraId="062D1EA7" w14:textId="4108E236" w:rsidR="00D81D88" w:rsidRDefault="00D81D88" w:rsidP="00EF1CB7">
      <w:r>
        <w:t xml:space="preserve">Výsledná tabuľka celkových nákladov na vlastníctvo </w:t>
      </w:r>
      <w:r w:rsidR="00B23DBD">
        <w:t xml:space="preserve">IKT subsystému EETS </w:t>
      </w:r>
      <w:r>
        <w:t>bude po úprave vypadať takto:</w:t>
      </w:r>
    </w:p>
    <w:p w14:paraId="2692E670" w14:textId="7AE5BEDD" w:rsidR="00D81D88" w:rsidRDefault="00D81D88" w:rsidP="00D81D88">
      <w:pPr>
        <w:pStyle w:val="Caption"/>
      </w:pPr>
      <w:r>
        <w:lastRenderedPageBreak/>
        <w:t xml:space="preserve">Tab. </w:t>
      </w:r>
      <w:r>
        <w:fldChar w:fldCharType="begin"/>
      </w:r>
      <w:r>
        <w:instrText xml:space="preserve"> SEQ Tab. \* ARABIC </w:instrText>
      </w:r>
      <w:r>
        <w:fldChar w:fldCharType="separate"/>
      </w:r>
      <w:r w:rsidR="00A86720">
        <w:rPr>
          <w:noProof/>
        </w:rPr>
        <w:t>25</w:t>
      </w:r>
      <w:r>
        <w:fldChar w:fldCharType="end"/>
      </w:r>
      <w:r>
        <w:t xml:space="preserve"> - Celkové náklady na vlastníctvo IKT </w:t>
      </w:r>
      <w:r w:rsidR="00B23DBD">
        <w:t>sub</w:t>
      </w:r>
      <w:r>
        <w:t>systému Rozhranie EETS</w:t>
      </w:r>
    </w:p>
    <w:tbl>
      <w:tblPr>
        <w:tblW w:w="927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left w:w="70" w:type="dxa"/>
          <w:right w:w="70" w:type="dxa"/>
        </w:tblCellMar>
        <w:tblLook w:val="04A0" w:firstRow="1" w:lastRow="0" w:firstColumn="1" w:lastColumn="0" w:noHBand="0" w:noVBand="1"/>
      </w:tblPr>
      <w:tblGrid>
        <w:gridCol w:w="2684"/>
        <w:gridCol w:w="1098"/>
        <w:gridCol w:w="1099"/>
        <w:gridCol w:w="1098"/>
        <w:gridCol w:w="1099"/>
        <w:gridCol w:w="1099"/>
        <w:gridCol w:w="1099"/>
      </w:tblGrid>
      <w:tr w:rsidR="00D81D88" w:rsidRPr="005F67BA" w14:paraId="43326A0B" w14:textId="2405F38F" w:rsidTr="00EF1CB7">
        <w:trPr>
          <w:trHeight w:val="300"/>
        </w:trPr>
        <w:tc>
          <w:tcPr>
            <w:tcW w:w="2684" w:type="dxa"/>
            <w:shd w:val="clear" w:color="auto" w:fill="BDD6EE" w:themeFill="accent1" w:themeFillTint="66"/>
            <w:noWrap/>
            <w:vAlign w:val="center"/>
            <w:hideMark/>
          </w:tcPr>
          <w:p w14:paraId="6C9F2F40" w14:textId="53552AFA" w:rsidR="00D81D88" w:rsidRPr="005F67BA" w:rsidRDefault="00D81D88" w:rsidP="00D81D88">
            <w:pPr>
              <w:spacing w:before="0" w:after="0" w:line="240" w:lineRule="auto"/>
              <w:jc w:val="center"/>
              <w:rPr>
                <w:rFonts w:asciiTheme="majorHAnsi" w:hAnsiTheme="majorHAnsi" w:cstheme="majorHAnsi"/>
                <w:bCs/>
                <w:sz w:val="18"/>
                <w:szCs w:val="18"/>
              </w:rPr>
            </w:pPr>
          </w:p>
        </w:tc>
        <w:tc>
          <w:tcPr>
            <w:tcW w:w="1098" w:type="dxa"/>
            <w:shd w:val="clear" w:color="auto" w:fill="BDD6EE" w:themeFill="accent1" w:themeFillTint="66"/>
            <w:vAlign w:val="center"/>
            <w:hideMark/>
          </w:tcPr>
          <w:p w14:paraId="2AB149CE" w14:textId="1001558C" w:rsidR="00D81D88" w:rsidRPr="005F67BA" w:rsidRDefault="00D81D88" w:rsidP="00D81D88">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Investičné náklady</w:t>
            </w:r>
          </w:p>
        </w:tc>
        <w:tc>
          <w:tcPr>
            <w:tcW w:w="1099" w:type="dxa"/>
            <w:shd w:val="clear" w:color="auto" w:fill="BDD6EE" w:themeFill="accent1" w:themeFillTint="66"/>
            <w:vAlign w:val="center"/>
            <w:hideMark/>
          </w:tcPr>
          <w:p w14:paraId="6E6932A8" w14:textId="1E6D9203" w:rsidR="00D81D88" w:rsidRPr="005F67BA" w:rsidRDefault="00D81D88" w:rsidP="00D81D88">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Prevádzka 2022</w:t>
            </w:r>
          </w:p>
        </w:tc>
        <w:tc>
          <w:tcPr>
            <w:tcW w:w="1098" w:type="dxa"/>
            <w:shd w:val="clear" w:color="auto" w:fill="BDD6EE" w:themeFill="accent1" w:themeFillTint="66"/>
            <w:vAlign w:val="center"/>
            <w:hideMark/>
          </w:tcPr>
          <w:p w14:paraId="54C95A88" w14:textId="6CCFCCD5" w:rsidR="00D81D88" w:rsidRPr="005F67BA" w:rsidRDefault="00D81D88" w:rsidP="00EF1CB7">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Prevádzka 2023</w:t>
            </w:r>
          </w:p>
        </w:tc>
        <w:tc>
          <w:tcPr>
            <w:tcW w:w="1099" w:type="dxa"/>
            <w:shd w:val="clear" w:color="auto" w:fill="BDD6EE" w:themeFill="accent1" w:themeFillTint="66"/>
            <w:vAlign w:val="center"/>
            <w:hideMark/>
          </w:tcPr>
          <w:p w14:paraId="4BA2E4DA" w14:textId="5224FE2D" w:rsidR="00D81D88" w:rsidRPr="005F67BA" w:rsidRDefault="00D81D88" w:rsidP="00EF1CB7">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Prevádzka 2024</w:t>
            </w:r>
          </w:p>
        </w:tc>
        <w:tc>
          <w:tcPr>
            <w:tcW w:w="1099" w:type="dxa"/>
            <w:shd w:val="clear" w:color="auto" w:fill="BDD6EE" w:themeFill="accent1" w:themeFillTint="66"/>
            <w:vAlign w:val="center"/>
          </w:tcPr>
          <w:p w14:paraId="6B7F5913" w14:textId="4D6EBE56" w:rsidR="00D81D88" w:rsidRPr="005F67BA" w:rsidRDefault="00D81D88" w:rsidP="00EF1CB7">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Prevádzka 2025</w:t>
            </w:r>
          </w:p>
        </w:tc>
        <w:tc>
          <w:tcPr>
            <w:tcW w:w="1099" w:type="dxa"/>
            <w:shd w:val="clear" w:color="auto" w:fill="BDD6EE" w:themeFill="accent1" w:themeFillTint="66"/>
            <w:vAlign w:val="center"/>
          </w:tcPr>
          <w:p w14:paraId="5BD5330E" w14:textId="126649A3" w:rsidR="00D81D88" w:rsidRPr="005F67BA" w:rsidRDefault="00D81D88" w:rsidP="00EF1CB7">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Prevádzka 2026</w:t>
            </w:r>
          </w:p>
        </w:tc>
      </w:tr>
      <w:tr w:rsidR="00CD1571" w:rsidRPr="005F67BA" w14:paraId="642DBE9E" w14:textId="01DACB02" w:rsidTr="006D3285">
        <w:trPr>
          <w:trHeight w:val="300"/>
        </w:trPr>
        <w:tc>
          <w:tcPr>
            <w:tcW w:w="2684" w:type="dxa"/>
            <w:shd w:val="clear" w:color="auto" w:fill="DEEAF6" w:themeFill="accent1" w:themeFillTint="33"/>
            <w:noWrap/>
            <w:vAlign w:val="center"/>
            <w:hideMark/>
          </w:tcPr>
          <w:p w14:paraId="001B0297"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SW produkty - sumár obstaranie</w:t>
            </w:r>
          </w:p>
        </w:tc>
        <w:tc>
          <w:tcPr>
            <w:tcW w:w="1098" w:type="dxa"/>
            <w:shd w:val="clear" w:color="auto" w:fill="auto"/>
            <w:noWrap/>
            <w:vAlign w:val="center"/>
            <w:hideMark/>
          </w:tcPr>
          <w:p w14:paraId="36CE1ECE" w14:textId="787E6422"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554 745</w:t>
            </w:r>
          </w:p>
        </w:tc>
        <w:tc>
          <w:tcPr>
            <w:tcW w:w="1099" w:type="dxa"/>
            <w:shd w:val="clear" w:color="auto" w:fill="auto"/>
            <w:noWrap/>
            <w:vAlign w:val="center"/>
            <w:hideMark/>
          </w:tcPr>
          <w:p w14:paraId="1C80A532" w14:textId="23D45EEB"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8" w:type="dxa"/>
            <w:shd w:val="clear" w:color="auto" w:fill="auto"/>
            <w:noWrap/>
            <w:vAlign w:val="center"/>
            <w:hideMark/>
          </w:tcPr>
          <w:p w14:paraId="0E4E3946" w14:textId="254A2CD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69F7D831" w14:textId="29A8362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1A143214" w14:textId="3531AF5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36AFFE19" w14:textId="4E2143A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58339611" w14:textId="4B42C46C" w:rsidTr="006D3285">
        <w:trPr>
          <w:trHeight w:val="300"/>
        </w:trPr>
        <w:tc>
          <w:tcPr>
            <w:tcW w:w="2684" w:type="dxa"/>
            <w:shd w:val="clear" w:color="auto" w:fill="DEEAF6" w:themeFill="accent1" w:themeFillTint="33"/>
            <w:noWrap/>
            <w:vAlign w:val="center"/>
            <w:hideMark/>
          </w:tcPr>
          <w:p w14:paraId="49F6A60A"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SW produkty - sumár prevádzka</w:t>
            </w:r>
          </w:p>
        </w:tc>
        <w:tc>
          <w:tcPr>
            <w:tcW w:w="1098" w:type="dxa"/>
            <w:shd w:val="clear" w:color="auto" w:fill="auto"/>
            <w:noWrap/>
            <w:vAlign w:val="center"/>
            <w:hideMark/>
          </w:tcPr>
          <w:p w14:paraId="153D6495" w14:textId="6D2E02D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6F4858E8" w14:textId="1930A8E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98" w:type="dxa"/>
            <w:shd w:val="clear" w:color="auto" w:fill="auto"/>
            <w:noWrap/>
            <w:vAlign w:val="center"/>
            <w:hideMark/>
          </w:tcPr>
          <w:p w14:paraId="45879FA3" w14:textId="7ACCB73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99" w:type="dxa"/>
            <w:shd w:val="clear" w:color="auto" w:fill="auto"/>
            <w:noWrap/>
            <w:vAlign w:val="center"/>
            <w:hideMark/>
          </w:tcPr>
          <w:p w14:paraId="7F0404A8" w14:textId="19FF2D7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99" w:type="dxa"/>
            <w:vAlign w:val="center"/>
          </w:tcPr>
          <w:p w14:paraId="780DB42A" w14:textId="6D7EE02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c>
          <w:tcPr>
            <w:tcW w:w="1099" w:type="dxa"/>
            <w:vAlign w:val="center"/>
          </w:tcPr>
          <w:p w14:paraId="4462791A" w14:textId="376B0AEB"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133 139</w:t>
            </w:r>
          </w:p>
        </w:tc>
      </w:tr>
      <w:tr w:rsidR="00CD1571" w:rsidRPr="005F67BA" w14:paraId="0844164D" w14:textId="633CC61F" w:rsidTr="006D3285">
        <w:trPr>
          <w:trHeight w:val="300"/>
        </w:trPr>
        <w:tc>
          <w:tcPr>
            <w:tcW w:w="2684" w:type="dxa"/>
            <w:shd w:val="clear" w:color="auto" w:fill="DEEAF6" w:themeFill="accent1" w:themeFillTint="33"/>
            <w:noWrap/>
            <w:vAlign w:val="center"/>
            <w:hideMark/>
          </w:tcPr>
          <w:p w14:paraId="4E10FFE3"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Aplikácie - sumár obstaranie</w:t>
            </w:r>
          </w:p>
        </w:tc>
        <w:tc>
          <w:tcPr>
            <w:tcW w:w="1098" w:type="dxa"/>
            <w:shd w:val="clear" w:color="auto" w:fill="auto"/>
            <w:noWrap/>
            <w:vAlign w:val="center"/>
            <w:hideMark/>
          </w:tcPr>
          <w:p w14:paraId="0ABC6758" w14:textId="02E2E057"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2 356 716</w:t>
            </w:r>
          </w:p>
        </w:tc>
        <w:tc>
          <w:tcPr>
            <w:tcW w:w="1099" w:type="dxa"/>
            <w:shd w:val="clear" w:color="auto" w:fill="auto"/>
            <w:noWrap/>
            <w:vAlign w:val="center"/>
            <w:hideMark/>
          </w:tcPr>
          <w:p w14:paraId="78D55B2E" w14:textId="54C52792"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8" w:type="dxa"/>
            <w:shd w:val="clear" w:color="auto" w:fill="auto"/>
            <w:noWrap/>
            <w:vAlign w:val="center"/>
            <w:hideMark/>
          </w:tcPr>
          <w:p w14:paraId="2C17E71A" w14:textId="2A8BEE3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2C099FCC" w14:textId="553DE30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76ECA172" w14:textId="423C89B2"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16167E40" w14:textId="277B43F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7F5FC8A3" w14:textId="10DCDA10" w:rsidTr="006D3285">
        <w:trPr>
          <w:trHeight w:val="300"/>
        </w:trPr>
        <w:tc>
          <w:tcPr>
            <w:tcW w:w="2684" w:type="dxa"/>
            <w:shd w:val="clear" w:color="auto" w:fill="DEEAF6" w:themeFill="accent1" w:themeFillTint="33"/>
            <w:noWrap/>
            <w:vAlign w:val="center"/>
            <w:hideMark/>
          </w:tcPr>
          <w:p w14:paraId="37183C80"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Aplikácie - sumár prevádzka</w:t>
            </w:r>
          </w:p>
        </w:tc>
        <w:tc>
          <w:tcPr>
            <w:tcW w:w="1098" w:type="dxa"/>
            <w:shd w:val="clear" w:color="auto" w:fill="auto"/>
            <w:noWrap/>
            <w:vAlign w:val="center"/>
            <w:hideMark/>
          </w:tcPr>
          <w:p w14:paraId="1D65EBA3" w14:textId="3EEA129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6A0D9FAF" w14:textId="34D84B34"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98" w:type="dxa"/>
            <w:shd w:val="clear" w:color="auto" w:fill="auto"/>
            <w:noWrap/>
            <w:vAlign w:val="center"/>
            <w:hideMark/>
          </w:tcPr>
          <w:p w14:paraId="27B3E3C1" w14:textId="68C9D8A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99" w:type="dxa"/>
            <w:shd w:val="clear" w:color="auto" w:fill="auto"/>
            <w:noWrap/>
            <w:vAlign w:val="center"/>
            <w:hideMark/>
          </w:tcPr>
          <w:p w14:paraId="3B351B29" w14:textId="2288E1B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99" w:type="dxa"/>
            <w:vAlign w:val="center"/>
          </w:tcPr>
          <w:p w14:paraId="1E8CA113" w14:textId="784931E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c>
          <w:tcPr>
            <w:tcW w:w="1099" w:type="dxa"/>
            <w:vAlign w:val="center"/>
          </w:tcPr>
          <w:p w14:paraId="35BE8350" w14:textId="2B0B683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279 595</w:t>
            </w:r>
          </w:p>
        </w:tc>
      </w:tr>
      <w:tr w:rsidR="00CD1571" w:rsidRPr="005F67BA" w14:paraId="7E8A0904" w14:textId="1E21A1DE" w:rsidTr="006D3285">
        <w:trPr>
          <w:trHeight w:val="300"/>
        </w:trPr>
        <w:tc>
          <w:tcPr>
            <w:tcW w:w="2684" w:type="dxa"/>
            <w:shd w:val="clear" w:color="auto" w:fill="DEEAF6" w:themeFill="accent1" w:themeFillTint="33"/>
            <w:noWrap/>
            <w:vAlign w:val="center"/>
            <w:hideMark/>
          </w:tcPr>
          <w:p w14:paraId="18A0FFC4"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SW a Aplikácie - výstupné náklady</w:t>
            </w:r>
          </w:p>
        </w:tc>
        <w:tc>
          <w:tcPr>
            <w:tcW w:w="1098" w:type="dxa"/>
            <w:shd w:val="clear" w:color="auto" w:fill="auto"/>
            <w:noWrap/>
            <w:vAlign w:val="center"/>
            <w:hideMark/>
          </w:tcPr>
          <w:p w14:paraId="2D7B923A" w14:textId="6FAAF4C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78A58805" w14:textId="0C7C6EFA"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8" w:type="dxa"/>
            <w:shd w:val="clear" w:color="auto" w:fill="auto"/>
            <w:noWrap/>
            <w:vAlign w:val="center"/>
            <w:hideMark/>
          </w:tcPr>
          <w:p w14:paraId="01601691" w14:textId="1CBA1EC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5E4E57C5" w14:textId="2B3C57D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302EF91D" w14:textId="4503BEB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379B9BBB" w14:textId="3BB8F90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7F4485CA" w14:textId="6A5A4CF7" w:rsidTr="006D3285">
        <w:trPr>
          <w:trHeight w:val="300"/>
        </w:trPr>
        <w:tc>
          <w:tcPr>
            <w:tcW w:w="2684" w:type="dxa"/>
            <w:shd w:val="clear" w:color="auto" w:fill="DEEAF6" w:themeFill="accent1" w:themeFillTint="33"/>
            <w:noWrap/>
            <w:vAlign w:val="center"/>
            <w:hideMark/>
          </w:tcPr>
          <w:p w14:paraId="1088CBB4"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HW sumár obstaranie</w:t>
            </w:r>
          </w:p>
        </w:tc>
        <w:tc>
          <w:tcPr>
            <w:tcW w:w="1098" w:type="dxa"/>
            <w:shd w:val="clear" w:color="auto" w:fill="auto"/>
            <w:noWrap/>
            <w:vAlign w:val="center"/>
            <w:hideMark/>
          </w:tcPr>
          <w:p w14:paraId="4974802F" w14:textId="42366D5D"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625 255</w:t>
            </w:r>
          </w:p>
        </w:tc>
        <w:tc>
          <w:tcPr>
            <w:tcW w:w="1099" w:type="dxa"/>
            <w:shd w:val="clear" w:color="auto" w:fill="auto"/>
            <w:noWrap/>
            <w:vAlign w:val="center"/>
            <w:hideMark/>
          </w:tcPr>
          <w:p w14:paraId="15666584" w14:textId="3D0E713C"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8" w:type="dxa"/>
            <w:shd w:val="clear" w:color="auto" w:fill="auto"/>
            <w:noWrap/>
            <w:vAlign w:val="center"/>
            <w:hideMark/>
          </w:tcPr>
          <w:p w14:paraId="145135A6" w14:textId="6E1AEC9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0A83D9BB" w14:textId="19F2C52E"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461E2F53" w14:textId="11834045"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39127B1A" w14:textId="7345404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7CE2062A" w14:textId="45798065" w:rsidTr="006D3285">
        <w:trPr>
          <w:trHeight w:val="300"/>
        </w:trPr>
        <w:tc>
          <w:tcPr>
            <w:tcW w:w="2684" w:type="dxa"/>
            <w:shd w:val="clear" w:color="auto" w:fill="DEEAF6" w:themeFill="accent1" w:themeFillTint="33"/>
            <w:noWrap/>
            <w:vAlign w:val="center"/>
            <w:hideMark/>
          </w:tcPr>
          <w:p w14:paraId="02CD92B1"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HW sumár prevádzka</w:t>
            </w:r>
          </w:p>
        </w:tc>
        <w:tc>
          <w:tcPr>
            <w:tcW w:w="1098" w:type="dxa"/>
            <w:shd w:val="clear" w:color="auto" w:fill="auto"/>
            <w:noWrap/>
            <w:vAlign w:val="center"/>
            <w:hideMark/>
          </w:tcPr>
          <w:p w14:paraId="330BE435" w14:textId="42BFB9E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6A3E92E1" w14:textId="504B081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98" w:type="dxa"/>
            <w:shd w:val="clear" w:color="auto" w:fill="auto"/>
            <w:noWrap/>
            <w:vAlign w:val="center"/>
            <w:hideMark/>
          </w:tcPr>
          <w:p w14:paraId="7D95A278" w14:textId="69813C6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99" w:type="dxa"/>
            <w:shd w:val="clear" w:color="auto" w:fill="auto"/>
            <w:noWrap/>
            <w:vAlign w:val="center"/>
            <w:hideMark/>
          </w:tcPr>
          <w:p w14:paraId="7086C289" w14:textId="1DF73F85"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99" w:type="dxa"/>
            <w:vAlign w:val="center"/>
          </w:tcPr>
          <w:p w14:paraId="1C2847BD" w14:textId="314C8DB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c>
          <w:tcPr>
            <w:tcW w:w="1099" w:type="dxa"/>
            <w:vAlign w:val="center"/>
          </w:tcPr>
          <w:p w14:paraId="271AA9B5" w14:textId="60E54207"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112 546</w:t>
            </w:r>
          </w:p>
        </w:tc>
      </w:tr>
      <w:tr w:rsidR="00CD1571" w:rsidRPr="005F67BA" w14:paraId="18904D39" w14:textId="77777777" w:rsidTr="006D3285">
        <w:trPr>
          <w:trHeight w:val="300"/>
        </w:trPr>
        <w:tc>
          <w:tcPr>
            <w:tcW w:w="2684" w:type="dxa"/>
            <w:shd w:val="clear" w:color="auto" w:fill="DEEAF6" w:themeFill="accent1" w:themeFillTint="33"/>
            <w:noWrap/>
            <w:vAlign w:val="center"/>
          </w:tcPr>
          <w:p w14:paraId="6EE74889" w14:textId="6300BF5B" w:rsidR="00CD1571" w:rsidRPr="005F67BA" w:rsidRDefault="00CD1571" w:rsidP="00CD1571">
            <w:pPr>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Medzisúčet</w:t>
            </w:r>
          </w:p>
        </w:tc>
        <w:tc>
          <w:tcPr>
            <w:tcW w:w="1098" w:type="dxa"/>
            <w:shd w:val="clear" w:color="auto" w:fill="DEEAF6" w:themeFill="accent1" w:themeFillTint="33"/>
            <w:noWrap/>
            <w:vAlign w:val="center"/>
          </w:tcPr>
          <w:p w14:paraId="39D6A196" w14:textId="5622E840"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3 536 716</w:t>
            </w:r>
          </w:p>
        </w:tc>
        <w:tc>
          <w:tcPr>
            <w:tcW w:w="1099" w:type="dxa"/>
            <w:shd w:val="clear" w:color="auto" w:fill="DEEAF6" w:themeFill="accent1" w:themeFillTint="33"/>
            <w:noWrap/>
            <w:vAlign w:val="center"/>
          </w:tcPr>
          <w:p w14:paraId="7A01CE08" w14:textId="1434B3B2"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8" w:type="dxa"/>
            <w:shd w:val="clear" w:color="auto" w:fill="DEEAF6" w:themeFill="accent1" w:themeFillTint="33"/>
            <w:noWrap/>
            <w:vAlign w:val="center"/>
          </w:tcPr>
          <w:p w14:paraId="324A013E" w14:textId="44DE8257"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9" w:type="dxa"/>
            <w:shd w:val="clear" w:color="auto" w:fill="DEEAF6" w:themeFill="accent1" w:themeFillTint="33"/>
            <w:noWrap/>
            <w:vAlign w:val="center"/>
          </w:tcPr>
          <w:p w14:paraId="5C1E7692" w14:textId="273B12CE"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9" w:type="dxa"/>
            <w:shd w:val="clear" w:color="auto" w:fill="DEEAF6" w:themeFill="accent1" w:themeFillTint="33"/>
            <w:vAlign w:val="center"/>
          </w:tcPr>
          <w:p w14:paraId="17B7B115" w14:textId="204D4274"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9" w:type="dxa"/>
            <w:shd w:val="clear" w:color="auto" w:fill="DEEAF6" w:themeFill="accent1" w:themeFillTint="33"/>
            <w:vAlign w:val="center"/>
          </w:tcPr>
          <w:p w14:paraId="7D1137A2" w14:textId="4EFB18E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r>
      <w:tr w:rsidR="00CD1571" w:rsidRPr="005F67BA" w14:paraId="637F0496" w14:textId="5D81E917" w:rsidTr="006D3285">
        <w:trPr>
          <w:trHeight w:val="315"/>
        </w:trPr>
        <w:tc>
          <w:tcPr>
            <w:tcW w:w="2684" w:type="dxa"/>
            <w:shd w:val="clear" w:color="auto" w:fill="DEEAF6" w:themeFill="accent1" w:themeFillTint="33"/>
            <w:noWrap/>
            <w:vAlign w:val="center"/>
            <w:hideMark/>
          </w:tcPr>
          <w:p w14:paraId="061377F7" w14:textId="77777777" w:rsidR="00CD1571" w:rsidRPr="005F67BA" w:rsidRDefault="00CD1571" w:rsidP="00CD1571">
            <w:pPr>
              <w:spacing w:before="0" w:after="0" w:line="240" w:lineRule="auto"/>
              <w:jc w:val="left"/>
              <w:rPr>
                <w:rFonts w:asciiTheme="majorHAnsi" w:hAnsiTheme="majorHAnsi" w:cstheme="majorHAnsi"/>
                <w:sz w:val="18"/>
                <w:szCs w:val="18"/>
              </w:rPr>
            </w:pPr>
            <w:r w:rsidRPr="005F67BA">
              <w:rPr>
                <w:rFonts w:asciiTheme="majorHAnsi" w:hAnsiTheme="majorHAnsi" w:cstheme="majorHAnsi"/>
                <w:sz w:val="18"/>
                <w:szCs w:val="18"/>
              </w:rPr>
              <w:t>Riadenie projektu</w:t>
            </w:r>
          </w:p>
        </w:tc>
        <w:tc>
          <w:tcPr>
            <w:tcW w:w="1098" w:type="dxa"/>
            <w:shd w:val="clear" w:color="auto" w:fill="auto"/>
            <w:noWrap/>
            <w:vAlign w:val="center"/>
            <w:hideMark/>
          </w:tcPr>
          <w:p w14:paraId="4B57A294" w14:textId="11F7620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41 281</w:t>
            </w:r>
          </w:p>
        </w:tc>
        <w:tc>
          <w:tcPr>
            <w:tcW w:w="1099" w:type="dxa"/>
            <w:shd w:val="clear" w:color="auto" w:fill="auto"/>
            <w:noWrap/>
            <w:vAlign w:val="center"/>
            <w:hideMark/>
          </w:tcPr>
          <w:p w14:paraId="7C04F0BD" w14:textId="5A78C05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8" w:type="dxa"/>
            <w:shd w:val="clear" w:color="auto" w:fill="auto"/>
            <w:noWrap/>
            <w:vAlign w:val="center"/>
            <w:hideMark/>
          </w:tcPr>
          <w:p w14:paraId="64946EDB" w14:textId="6578D2D4"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shd w:val="clear" w:color="auto" w:fill="auto"/>
            <w:noWrap/>
            <w:vAlign w:val="center"/>
            <w:hideMark/>
          </w:tcPr>
          <w:p w14:paraId="2D6DAC7D" w14:textId="673CF272"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65B0864B" w14:textId="282DDAAE"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c>
          <w:tcPr>
            <w:tcW w:w="1099" w:type="dxa"/>
            <w:vAlign w:val="center"/>
          </w:tcPr>
          <w:p w14:paraId="611381BC" w14:textId="022B01D5"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0</w:t>
            </w:r>
          </w:p>
        </w:tc>
      </w:tr>
      <w:tr w:rsidR="00CD1571" w:rsidRPr="005F67BA" w14:paraId="0C562FA8" w14:textId="0A7A2CBB" w:rsidTr="006D3285">
        <w:trPr>
          <w:trHeight w:val="315"/>
        </w:trPr>
        <w:tc>
          <w:tcPr>
            <w:tcW w:w="2684" w:type="dxa"/>
            <w:shd w:val="clear" w:color="auto" w:fill="BDD6EE" w:themeFill="accent1" w:themeFillTint="66"/>
            <w:vAlign w:val="center"/>
            <w:hideMark/>
          </w:tcPr>
          <w:p w14:paraId="1ADFCBC8" w14:textId="77777777" w:rsidR="00CD1571" w:rsidRPr="005F67BA" w:rsidRDefault="00CD1571" w:rsidP="00CD1571">
            <w:pPr>
              <w:spacing w:before="0" w:after="0" w:line="240" w:lineRule="auto"/>
              <w:jc w:val="left"/>
              <w:rPr>
                <w:rFonts w:asciiTheme="majorHAnsi" w:hAnsiTheme="majorHAnsi" w:cstheme="majorHAnsi"/>
                <w:bCs/>
                <w:sz w:val="18"/>
                <w:szCs w:val="18"/>
              </w:rPr>
            </w:pPr>
            <w:r w:rsidRPr="005F67BA">
              <w:rPr>
                <w:rFonts w:asciiTheme="majorHAnsi" w:hAnsiTheme="majorHAnsi" w:cstheme="majorHAnsi"/>
                <w:bCs/>
                <w:sz w:val="18"/>
                <w:szCs w:val="18"/>
              </w:rPr>
              <w:t xml:space="preserve">Spolu </w:t>
            </w:r>
          </w:p>
        </w:tc>
        <w:tc>
          <w:tcPr>
            <w:tcW w:w="1098" w:type="dxa"/>
            <w:shd w:val="clear" w:color="auto" w:fill="BDD6EE" w:themeFill="accent1" w:themeFillTint="66"/>
            <w:noWrap/>
            <w:vAlign w:val="center"/>
            <w:hideMark/>
          </w:tcPr>
          <w:p w14:paraId="17819F96" w14:textId="499141B3"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3 577 997</w:t>
            </w:r>
          </w:p>
        </w:tc>
        <w:tc>
          <w:tcPr>
            <w:tcW w:w="1099" w:type="dxa"/>
            <w:shd w:val="clear" w:color="auto" w:fill="BDD6EE" w:themeFill="accent1" w:themeFillTint="66"/>
            <w:noWrap/>
            <w:vAlign w:val="center"/>
            <w:hideMark/>
          </w:tcPr>
          <w:p w14:paraId="62D3F696" w14:textId="64924EF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8" w:type="dxa"/>
            <w:shd w:val="clear" w:color="auto" w:fill="BDD6EE" w:themeFill="accent1" w:themeFillTint="66"/>
            <w:noWrap/>
            <w:vAlign w:val="center"/>
            <w:hideMark/>
          </w:tcPr>
          <w:p w14:paraId="78A7C210" w14:textId="5BEC1286"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9" w:type="dxa"/>
            <w:shd w:val="clear" w:color="auto" w:fill="BDD6EE" w:themeFill="accent1" w:themeFillTint="66"/>
            <w:noWrap/>
            <w:vAlign w:val="center"/>
            <w:hideMark/>
          </w:tcPr>
          <w:p w14:paraId="56CCDD64" w14:textId="0A8F92BF"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9" w:type="dxa"/>
            <w:shd w:val="clear" w:color="auto" w:fill="BDD6EE" w:themeFill="accent1" w:themeFillTint="66"/>
            <w:vAlign w:val="center"/>
          </w:tcPr>
          <w:p w14:paraId="2C0F1FAA" w14:textId="40FD6AB9"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c>
          <w:tcPr>
            <w:tcW w:w="1099" w:type="dxa"/>
            <w:shd w:val="clear" w:color="auto" w:fill="BDD6EE" w:themeFill="accent1" w:themeFillTint="66"/>
            <w:vAlign w:val="center"/>
          </w:tcPr>
          <w:p w14:paraId="6F6FF01B" w14:textId="54F42408" w:rsidR="00CD1571" w:rsidRPr="005F67BA" w:rsidRDefault="00CD1571" w:rsidP="00CD1571">
            <w:pPr>
              <w:spacing w:before="0" w:after="0" w:line="240" w:lineRule="auto"/>
              <w:jc w:val="right"/>
              <w:rPr>
                <w:rFonts w:asciiTheme="majorHAnsi" w:hAnsiTheme="majorHAnsi" w:cstheme="majorHAnsi"/>
                <w:bCs/>
                <w:sz w:val="18"/>
                <w:szCs w:val="18"/>
              </w:rPr>
            </w:pPr>
            <w:r w:rsidRPr="00DA7523">
              <w:rPr>
                <w:rFonts w:asciiTheme="majorHAnsi" w:hAnsiTheme="majorHAnsi" w:cstheme="majorHAnsi"/>
                <w:bCs/>
                <w:sz w:val="18"/>
                <w:szCs w:val="18"/>
              </w:rPr>
              <w:t>525 279</w:t>
            </w:r>
          </w:p>
        </w:tc>
      </w:tr>
    </w:tbl>
    <w:p w14:paraId="616EE9D7" w14:textId="2EEBB8F4" w:rsidR="00D81D88" w:rsidRPr="005F67BA" w:rsidRDefault="00D81D88" w:rsidP="00D81D88">
      <w:pPr>
        <w:rPr>
          <w:i/>
          <w:sz w:val="16"/>
        </w:rPr>
      </w:pPr>
      <w:r w:rsidRPr="005F67BA">
        <w:rPr>
          <w:i/>
          <w:sz w:val="16"/>
        </w:rPr>
        <w:t xml:space="preserve">Zdroj: Príloha </w:t>
      </w:r>
      <w:r w:rsidRPr="005F67BA">
        <w:rPr>
          <w:i/>
          <w:sz w:val="16"/>
        </w:rPr>
        <w:fldChar w:fldCharType="begin"/>
      </w:r>
      <w:r w:rsidRPr="005F67BA">
        <w:rPr>
          <w:i/>
          <w:sz w:val="16"/>
        </w:rPr>
        <w:instrText xml:space="preserve"> REF _Ref79369997 \r \h </w:instrText>
      </w:r>
      <w:r>
        <w:rPr>
          <w:i/>
          <w:sz w:val="16"/>
        </w:rPr>
        <w:instrText xml:space="preserve"> \* MERGEFORMAT </w:instrText>
      </w:r>
      <w:r w:rsidRPr="005F67BA">
        <w:rPr>
          <w:i/>
          <w:sz w:val="16"/>
        </w:rPr>
      </w:r>
      <w:r w:rsidRPr="005F67BA">
        <w:rPr>
          <w:i/>
          <w:sz w:val="16"/>
        </w:rPr>
        <w:fldChar w:fldCharType="separate"/>
      </w:r>
      <w:r w:rsidR="00A86720">
        <w:rPr>
          <w:i/>
          <w:sz w:val="16"/>
        </w:rPr>
        <w:t>[3]</w:t>
      </w:r>
      <w:r w:rsidRPr="005F67BA">
        <w:rPr>
          <w:i/>
          <w:sz w:val="16"/>
        </w:rPr>
        <w:fldChar w:fldCharType="end"/>
      </w:r>
      <w:r w:rsidRPr="005F67BA">
        <w:rPr>
          <w:i/>
          <w:sz w:val="16"/>
        </w:rPr>
        <w:t>, hárok „TCO“</w:t>
      </w:r>
      <w:r>
        <w:rPr>
          <w:i/>
          <w:sz w:val="16"/>
        </w:rPr>
        <w:t>, tabuľka „TO BE“</w:t>
      </w:r>
      <w:r w:rsidRPr="005F67BA">
        <w:rPr>
          <w:i/>
          <w:sz w:val="16"/>
        </w:rPr>
        <w:t xml:space="preserve"> </w:t>
      </w:r>
    </w:p>
    <w:p w14:paraId="0C7D12AE" w14:textId="77777777" w:rsidR="00EF1CB7" w:rsidRDefault="00EF1CB7">
      <w:pPr>
        <w:spacing w:before="0" w:after="0" w:line="240" w:lineRule="auto"/>
        <w:jc w:val="left"/>
      </w:pPr>
    </w:p>
    <w:p w14:paraId="26705562" w14:textId="6A797AA2" w:rsidR="00C5330C" w:rsidRDefault="00D81D88" w:rsidP="00EF1CB7">
      <w:pPr>
        <w:pStyle w:val="Heading3"/>
      </w:pPr>
      <w:bookmarkStart w:id="129" w:name="_Toc87348742"/>
      <w:r>
        <w:t xml:space="preserve">Závery analýzy celkových nákladov na vlastníctvo IKT </w:t>
      </w:r>
      <w:r w:rsidR="00B23DBD">
        <w:t>sub</w:t>
      </w:r>
      <w:r>
        <w:t>systému Rozhranie EETS</w:t>
      </w:r>
      <w:bookmarkEnd w:id="129"/>
    </w:p>
    <w:p w14:paraId="1C298E28" w14:textId="2539934C" w:rsidR="00C5330C" w:rsidRDefault="00E527FE" w:rsidP="00EF1CB7">
      <w:r>
        <w:t xml:space="preserve">Cenový návrh SkyToll  na vybudovanie IKT subsystému Rozhranie EETS podľa detailného rozpisu vrátane vedľajších nákladov a zhotovenie Geomodelu predstavuje suma </w:t>
      </w:r>
      <w:r w:rsidR="006F35CF">
        <w:rPr>
          <w:b/>
        </w:rPr>
        <w:t>3</w:t>
      </w:r>
      <w:r w:rsidR="006F35CF" w:rsidRPr="00EF1CB7">
        <w:rPr>
          <w:b/>
        </w:rPr>
        <w:t> </w:t>
      </w:r>
      <w:r w:rsidR="006F35CF">
        <w:rPr>
          <w:b/>
        </w:rPr>
        <w:t>177</w:t>
      </w:r>
      <w:r w:rsidR="006F35CF" w:rsidRPr="00EF1CB7">
        <w:rPr>
          <w:b/>
        </w:rPr>
        <w:t> </w:t>
      </w:r>
      <w:r w:rsidR="006F35CF">
        <w:rPr>
          <w:b/>
        </w:rPr>
        <w:t>268</w:t>
      </w:r>
      <w:r w:rsidRPr="00EF1CB7">
        <w:rPr>
          <w:b/>
        </w:rPr>
        <w:t>,- Eur</w:t>
      </w:r>
      <w:r>
        <w:t xml:space="preserve"> bez DPH, čo je menej ako výsledok analýzy CBA spracovaný podľa metodiky UCWA s uvažovaním východiskových parametrov podľa odporúčaní MIRRI 1.4 v sume </w:t>
      </w:r>
      <w:r w:rsidR="00CD1571">
        <w:rPr>
          <w:b/>
        </w:rPr>
        <w:t>3 536 716</w:t>
      </w:r>
      <w:r w:rsidRPr="00EF1CB7">
        <w:rPr>
          <w:b/>
        </w:rPr>
        <w:t>,- Eur</w:t>
      </w:r>
      <w:r>
        <w:t xml:space="preserve"> po odrátaní interných nákladov na riadenie projektu implementácie. </w:t>
      </w:r>
    </w:p>
    <w:p w14:paraId="71A75D13" w14:textId="2CD48667" w:rsidR="00AD0B98" w:rsidRDefault="00E527FE" w:rsidP="00EF1CB7">
      <w:r>
        <w:t xml:space="preserve">Prevádzkové náklady v cenovom návrhu SkyToll podľa detailného rozpisu </w:t>
      </w:r>
      <w:r w:rsidR="00AD0B98">
        <w:t xml:space="preserve">predstavujú sumu 864 812,- Eur bez DPH ročne. Podľa metodiky MIRRI boli stanovené ročné náklady na prevádzku IKT v sume </w:t>
      </w:r>
      <w:r w:rsidR="00CD1571">
        <w:t>525 729</w:t>
      </w:r>
      <w:r w:rsidR="00AD0B98">
        <w:t xml:space="preserve">,- Eur ročne. Uvedené čísla ale nie je možné spolu porovnávať, lebo služby podľa cenovej ponuky SkyToll obsahujú nad rámec prevádzkovania IKT aj úplný outsourcing všetkých biznis procesov relevantných pre EETS, zabezpečovaných v rámci rozšírenej Komplexnej služby elektronického výberu mýta. Na druhej strane je potrebné pri spracovaní komplexného hodnotenia celého projektu brať do úvahy skutočnosť, že implementácia nových a úpravy jestvujúcich biznis procesov Komplexnej služby elektronického výberu mýta predstavujú dodatočný jednorazový náklad na služby SkyToll v sume </w:t>
      </w:r>
      <w:r w:rsidR="000A4BF0">
        <w:t>2 791 </w:t>
      </w:r>
      <w:r w:rsidR="000A4BF0" w:rsidRPr="00AD0B98">
        <w:t>2</w:t>
      </w:r>
      <w:r w:rsidR="000A4BF0">
        <w:t>90</w:t>
      </w:r>
      <w:r w:rsidR="00AD0B98">
        <w:t>,- Eur bez DPH.</w:t>
      </w:r>
    </w:p>
    <w:p w14:paraId="631E7E6A" w14:textId="04281564" w:rsidR="00E527FE" w:rsidRPr="00EF1CB7" w:rsidRDefault="001E2DEE" w:rsidP="00EF1CB7">
      <w:pPr>
        <w:rPr>
          <w:b/>
        </w:rPr>
      </w:pPr>
      <w:r w:rsidRPr="00EF1CB7">
        <w:rPr>
          <w:b/>
        </w:rPr>
        <w:t>S ohľadom na vyššie uvedené skutočnosti budú n</w:t>
      </w:r>
      <w:r w:rsidR="00AD0B98" w:rsidRPr="00EF1CB7">
        <w:rPr>
          <w:b/>
        </w:rPr>
        <w:t>a účely spracovania finančnej a ekonomickej analýzy komplexného projektu EETS použité ako vstupné dáta údaje z aktualizovaného cenového návrhu SkyToll</w:t>
      </w:r>
      <w:r w:rsidRPr="00EF1CB7">
        <w:rPr>
          <w:b/>
        </w:rPr>
        <w:t>.</w:t>
      </w:r>
    </w:p>
    <w:p w14:paraId="1A0DA840" w14:textId="42853E57" w:rsidR="00366F12" w:rsidRDefault="00366F12">
      <w:pPr>
        <w:spacing w:before="0" w:after="0" w:line="240" w:lineRule="auto"/>
        <w:jc w:val="left"/>
      </w:pPr>
      <w:r>
        <w:br w:type="page"/>
      </w:r>
    </w:p>
    <w:p w14:paraId="49511C54" w14:textId="31F1BD96" w:rsidR="00D3077B" w:rsidRDefault="00D3077B" w:rsidP="005A7D49">
      <w:pPr>
        <w:pStyle w:val="Heading1"/>
        <w:ind w:left="431" w:hanging="431"/>
      </w:pPr>
      <w:bookmarkStart w:id="130" w:name="_Toc87348743"/>
      <w:r>
        <w:lastRenderedPageBreak/>
        <w:t>Finančná analýza</w:t>
      </w:r>
      <w:bookmarkEnd w:id="121"/>
      <w:r w:rsidR="00A071A1">
        <w:t xml:space="preserve"> komplexného projektu</w:t>
      </w:r>
      <w:bookmarkEnd w:id="130"/>
    </w:p>
    <w:p w14:paraId="47B89131" w14:textId="7F5EFFBA" w:rsidR="00D3077B" w:rsidRDefault="00D3077B" w:rsidP="00D3077B">
      <w:pPr>
        <w:pStyle w:val="Heading2"/>
      </w:pPr>
      <w:bookmarkStart w:id="131" w:name="_Toc33006393"/>
      <w:bookmarkStart w:id="132" w:name="_Toc87348744"/>
      <w:r>
        <w:t>Metodika finančnej analýzy</w:t>
      </w:r>
      <w:bookmarkEnd w:id="131"/>
      <w:bookmarkEnd w:id="132"/>
    </w:p>
    <w:p w14:paraId="0EA6D401" w14:textId="507BA4AB" w:rsidR="00D3077B" w:rsidRDefault="00D3077B" w:rsidP="00D3077B">
      <w:r>
        <w:t xml:space="preserve">Použitá metodika finančnej analýzy vychádza z odporúčaní </w:t>
      </w:r>
      <w:r w:rsidRPr="005706E7">
        <w:t>Metodick</w:t>
      </w:r>
      <w:r>
        <w:t>ej</w:t>
      </w:r>
      <w:r w:rsidRPr="005706E7">
        <w:t xml:space="preserve"> príručk</w:t>
      </w:r>
      <w:r>
        <w:t>y</w:t>
      </w:r>
      <w:r w:rsidRPr="005706E7">
        <w:t xml:space="preserve"> k tvorbe analýz nákladov a prínosov (CBA)</w:t>
      </w:r>
      <w:r>
        <w:t>, verzia 2.1, vydanej Sekciou riadenia projektov MDV, účinnej od 1.11.2018.</w:t>
      </w:r>
    </w:p>
    <w:p w14:paraId="311FDD9E" w14:textId="05600FFD" w:rsidR="00D3077B" w:rsidRDefault="00D3077B" w:rsidP="00D3077B">
      <w:r>
        <w:t>Základnou metódou finančnej analýzy je stanovenie a porovnanie diskontovaných peňažných tokov (</w:t>
      </w:r>
      <w:r w:rsidRPr="00A142A1">
        <w:rPr>
          <w:i/>
        </w:rPr>
        <w:t>Discounted Cash Flows</w:t>
      </w:r>
      <w:r>
        <w:t xml:space="preserve"> – DCF), ktoré kalkulujú súčasnú hodnotu výdavkov a príjmov vzniknutých v</w:t>
      </w:r>
      <w:r w:rsidR="00355791">
        <w:t> </w:t>
      </w:r>
      <w:r>
        <w:t xml:space="preserve">rôznych časových horizontoch. Metodika vychádza </w:t>
      </w:r>
      <w:r w:rsidR="00F26A17">
        <w:t>z</w:t>
      </w:r>
      <w:r>
        <w:t> </w:t>
      </w:r>
      <w:r w:rsidR="00F26A17">
        <w:t xml:space="preserve">nasledujúcich </w:t>
      </w:r>
      <w:r>
        <w:t>východísk a predpokladov:</w:t>
      </w:r>
    </w:p>
    <w:p w14:paraId="2E85B32B" w14:textId="77777777" w:rsidR="00D3077B" w:rsidRDefault="00D3077B" w:rsidP="00533FC1">
      <w:pPr>
        <w:pStyle w:val="ListParagraph"/>
        <w:numPr>
          <w:ilvl w:val="0"/>
          <w:numId w:val="18"/>
        </w:numPr>
      </w:pPr>
      <w:r>
        <w:t>Finančná analýza pokrýva iba peňažné toky predstavujúce príjmy alebo výdavky. Finančné aspekty nesúvisiace s tokmi finančných zdrojov (napr. odpisy, rezervy) finančná analýza nepokrýva;</w:t>
      </w:r>
    </w:p>
    <w:p w14:paraId="5A373802" w14:textId="77777777" w:rsidR="00D3077B" w:rsidRDefault="00D3077B" w:rsidP="00533FC1">
      <w:pPr>
        <w:pStyle w:val="ListParagraph"/>
        <w:numPr>
          <w:ilvl w:val="0"/>
          <w:numId w:val="18"/>
        </w:numPr>
      </w:pPr>
      <w:r>
        <w:t>Finančná analýza pokrýva výlučne príjmy a výdavky vzniknuté v súvislosti s realizáciou (investíciou a prevádzkou) projektu. Tieto môžu byť vypočítané ako rozdiel peňažných tokov medzi scenárom s realizáciou projektu a referenčným základným scenárom;</w:t>
      </w:r>
    </w:p>
    <w:p w14:paraId="136C9832" w14:textId="77777777" w:rsidR="00D3077B" w:rsidRDefault="00D3077B" w:rsidP="00533FC1">
      <w:pPr>
        <w:pStyle w:val="ListParagraph"/>
        <w:numPr>
          <w:ilvl w:val="0"/>
          <w:numId w:val="18"/>
        </w:numPr>
      </w:pPr>
      <w:r>
        <w:t>Finančná analýza pokrýva peňažné toky z pohľadu obstarávateľa investície – Objednávateľa</w:t>
      </w:r>
      <w:r>
        <w:rPr>
          <w:rStyle w:val="FootnoteReference"/>
        </w:rPr>
        <w:footnoteReference w:id="2"/>
      </w:r>
      <w:r>
        <w:t xml:space="preserve">. </w:t>
      </w:r>
    </w:p>
    <w:p w14:paraId="4817661E" w14:textId="77777777" w:rsidR="00D3077B" w:rsidRDefault="00D3077B" w:rsidP="00533FC1">
      <w:pPr>
        <w:pStyle w:val="ListParagraph"/>
        <w:numPr>
          <w:ilvl w:val="0"/>
          <w:numId w:val="18"/>
        </w:numPr>
      </w:pPr>
      <w:r>
        <w:t>Pomocou finančnej diskontnej sadzby, predpísaná hodnota FDR = 4 % (</w:t>
      </w:r>
      <w:r w:rsidRPr="0034085B">
        <w:rPr>
          <w:i/>
        </w:rPr>
        <w:t>Financial Discount Rate</w:t>
      </w:r>
      <w:r>
        <w:t>), sa vypočíta súčasná hodnota výdavkov a príjmov vzniknutých v rôznych časových horizontoch;</w:t>
      </w:r>
    </w:p>
    <w:p w14:paraId="44B57054" w14:textId="555775CF" w:rsidR="00D3077B" w:rsidRDefault="00D3077B" w:rsidP="00533FC1">
      <w:pPr>
        <w:pStyle w:val="ListParagraph"/>
        <w:numPr>
          <w:ilvl w:val="0"/>
          <w:numId w:val="18"/>
        </w:numPr>
      </w:pPr>
      <w:r>
        <w:t>Modelovaný odhad peňažných tokov pokrýva obdobie ekonomickej použiteľnosti projektu, ktoré bolo stanovené na 5 rokov prevádzky projektu;</w:t>
      </w:r>
    </w:p>
    <w:p w14:paraId="7FA321C6" w14:textId="722984A4" w:rsidR="00D3077B" w:rsidRDefault="00D3077B" w:rsidP="00533FC1">
      <w:pPr>
        <w:pStyle w:val="ListParagraph"/>
        <w:numPr>
          <w:ilvl w:val="0"/>
          <w:numId w:val="18"/>
        </w:numPr>
      </w:pPr>
      <w:r>
        <w:t>Finančná analýza je vypracovaná v stálych cenách, t. j. v cenách stanovených v základnom roku 2021;</w:t>
      </w:r>
    </w:p>
    <w:p w14:paraId="3053B246" w14:textId="77777777" w:rsidR="00D3077B" w:rsidRDefault="00D3077B" w:rsidP="00533FC1">
      <w:pPr>
        <w:pStyle w:val="ListParagraph"/>
        <w:numPr>
          <w:ilvl w:val="0"/>
          <w:numId w:val="18"/>
        </w:numPr>
      </w:pPr>
      <w:r>
        <w:t>Finančná analýza je spracovávaná v hodnotách bez DPH, na výdavkovej ako aj príjmovej strane.</w:t>
      </w:r>
    </w:p>
    <w:p w14:paraId="15EAFF53" w14:textId="77777777" w:rsidR="00D3077B" w:rsidRDefault="00D3077B" w:rsidP="00533FC1">
      <w:pPr>
        <w:pStyle w:val="ListParagraph"/>
        <w:numPr>
          <w:ilvl w:val="0"/>
          <w:numId w:val="18"/>
        </w:numPr>
      </w:pPr>
      <w:r>
        <w:t>Priame dane (z kapitálu, príjmov alebo iné) sú používané výhradne pre overenie finančnej udržateľnosti projektu, nie pre výpočet finančnej stránky, ktorá sa počíta pred takýmito daňovými zrážkami.</w:t>
      </w:r>
    </w:p>
    <w:p w14:paraId="7351C919" w14:textId="38AAD162" w:rsidR="00D3077B" w:rsidRDefault="00D3077B" w:rsidP="00533FC1">
      <w:pPr>
        <w:pStyle w:val="ListParagraph"/>
        <w:numPr>
          <w:ilvl w:val="0"/>
          <w:numId w:val="18"/>
        </w:numPr>
      </w:pPr>
      <w:r>
        <w:t>Majetok vlastnený NDS, ktorý sa má použiť na účely projektu</w:t>
      </w:r>
      <w:r w:rsidR="00F26A17">
        <w:t>,</w:t>
      </w:r>
      <w:r>
        <w:t xml:space="preserve"> sa nezahrnie do finančnej analýzy, a naopak výdavky na kúpu majetku na účely projektu budú do finančné analýzy zahrnuté.  </w:t>
      </w:r>
    </w:p>
    <w:p w14:paraId="239CBBE5" w14:textId="5CB81914" w:rsidR="00D3077B" w:rsidRDefault="00D3077B" w:rsidP="00D3077B">
      <w:r>
        <w:t>Referenčné obdobie sa skladá z nižšie uvedených období:</w:t>
      </w:r>
    </w:p>
    <w:p w14:paraId="4EE104C0" w14:textId="14C24444" w:rsidR="00D3077B" w:rsidRDefault="00D3077B" w:rsidP="00480B97">
      <w:pPr>
        <w:pStyle w:val="ListParagraph"/>
        <w:numPr>
          <w:ilvl w:val="0"/>
          <w:numId w:val="29"/>
        </w:numPr>
      </w:pPr>
      <w:r>
        <w:t xml:space="preserve">Obdobie </w:t>
      </w:r>
      <w:r w:rsidR="00BD137E">
        <w:t>implementácie</w:t>
      </w:r>
      <w:r>
        <w:t xml:space="preserve"> v trvaní </w:t>
      </w:r>
      <w:r w:rsidR="009814B7">
        <w:t xml:space="preserve">4 </w:t>
      </w:r>
      <w:r>
        <w:t xml:space="preserve">mesiacov, počas ktorého budú realizované investície a vybudovaná projektová infraštruktúra. Toto obdobie je spojené s realizáciou investičných výdavkov. </w:t>
      </w:r>
    </w:p>
    <w:p w14:paraId="29801B4F" w14:textId="5130BDC1" w:rsidR="00D3077B" w:rsidRDefault="00D3077B" w:rsidP="00480B97">
      <w:pPr>
        <w:pStyle w:val="ListParagraph"/>
        <w:numPr>
          <w:ilvl w:val="0"/>
          <w:numId w:val="29"/>
        </w:numPr>
      </w:pPr>
      <w:r>
        <w:t xml:space="preserve">Obdobie prevádzky, ktoré sa začína uvedením projektu do prevádzky a trvá </w:t>
      </w:r>
      <w:r w:rsidR="009814B7">
        <w:t xml:space="preserve">60 </w:t>
      </w:r>
      <w:r>
        <w:t>mesiacov. Toto obdobie je spojené s vynakladaním prevádzkových výdavkov a so vznikom prevádzkových príjmov.</w:t>
      </w:r>
    </w:p>
    <w:p w14:paraId="476C745C" w14:textId="775B5E9F" w:rsidR="00BD137E" w:rsidRDefault="00BC4D0A" w:rsidP="00BC4D0A">
      <w:r>
        <w:t xml:space="preserve">Podrobnosti viď čl. </w:t>
      </w:r>
      <w:r>
        <w:fldChar w:fldCharType="begin"/>
      </w:r>
      <w:r>
        <w:instrText xml:space="preserve"> REF _Ref72244697 \r \p \h </w:instrText>
      </w:r>
      <w:r>
        <w:fldChar w:fldCharType="separate"/>
      </w:r>
      <w:r w:rsidR="00A86720">
        <w:t>6.4.1 vyššie</w:t>
      </w:r>
      <w:r>
        <w:fldChar w:fldCharType="end"/>
      </w:r>
      <w:r>
        <w:t xml:space="preserve"> a návrh</w:t>
      </w:r>
      <w:r w:rsidR="003771D7">
        <w:t>y</w:t>
      </w:r>
      <w:r>
        <w:t xml:space="preserve"> </w:t>
      </w:r>
      <w:r w:rsidR="00397537">
        <w:t xml:space="preserve">uskutočnenia zmeny CR-00190 </w:t>
      </w:r>
      <w:r>
        <w:t>SkyToll.</w:t>
      </w:r>
      <w:r w:rsidR="00BD137E">
        <w:t xml:space="preserve"> </w:t>
      </w:r>
    </w:p>
    <w:p w14:paraId="1ADCB4FC" w14:textId="5456F71E" w:rsidR="00D3077B" w:rsidRDefault="00D3077B" w:rsidP="00D3077B">
      <w:r>
        <w:t xml:space="preserve">Referenčné obdobie projektu </w:t>
      </w:r>
      <w:r w:rsidR="00284A03">
        <w:t xml:space="preserve">je </w:t>
      </w:r>
      <w:r w:rsidR="009814B7">
        <w:t>64 mesiac</w:t>
      </w:r>
      <w:r w:rsidR="00284A03">
        <w:t>ov</w:t>
      </w:r>
      <w:r>
        <w:t>.</w:t>
      </w:r>
    </w:p>
    <w:p w14:paraId="1BCD322D" w14:textId="3DA4A78B" w:rsidR="003771D7" w:rsidRDefault="003771D7" w:rsidP="00D3077B">
      <w:r>
        <w:t>Finančná analýza je spracovaná pre oba varianty 1 a 2 projektu.</w:t>
      </w:r>
    </w:p>
    <w:p w14:paraId="28C82FDE" w14:textId="58801E19" w:rsidR="000A4BF0" w:rsidRDefault="000A4BF0">
      <w:pPr>
        <w:spacing w:before="0" w:after="0" w:line="240" w:lineRule="auto"/>
        <w:jc w:val="left"/>
      </w:pPr>
      <w:r>
        <w:br w:type="page"/>
      </w:r>
    </w:p>
    <w:p w14:paraId="5B723EB0" w14:textId="06487B6C" w:rsidR="0095790F" w:rsidRDefault="0095790F" w:rsidP="00A40297">
      <w:pPr>
        <w:pStyle w:val="Heading2"/>
      </w:pPr>
      <w:bookmarkStart w:id="133" w:name="_Toc87348745"/>
      <w:r>
        <w:lastRenderedPageBreak/>
        <w:t>Finančná analýza – Variant 1</w:t>
      </w:r>
      <w:bookmarkEnd w:id="133"/>
    </w:p>
    <w:p w14:paraId="2017E72A" w14:textId="728C8C56" w:rsidR="00D3077B" w:rsidRDefault="00D3077B" w:rsidP="00A40297">
      <w:pPr>
        <w:pStyle w:val="Heading3"/>
      </w:pPr>
      <w:bookmarkStart w:id="134" w:name="_Toc33006394"/>
      <w:bookmarkStart w:id="135" w:name="_Toc87348746"/>
      <w:r>
        <w:t>Výdavky</w:t>
      </w:r>
      <w:bookmarkEnd w:id="134"/>
      <w:bookmarkEnd w:id="135"/>
    </w:p>
    <w:p w14:paraId="7B08384D" w14:textId="39584950" w:rsidR="00BC4D0A" w:rsidRDefault="00D3077B" w:rsidP="00D3077B">
      <w:r>
        <w:t xml:space="preserve">Model výdavkov </w:t>
      </w:r>
      <w:r w:rsidR="00BC4D0A">
        <w:t>je zostavený na základe rozboru nákladov preferovaného variantu 2, uvedeného v čl</w:t>
      </w:r>
      <w:r>
        <w:t>.</w:t>
      </w:r>
      <w:r w:rsidR="00813B6E">
        <w:t xml:space="preserve"> </w:t>
      </w:r>
      <w:r w:rsidR="00813B6E">
        <w:fldChar w:fldCharType="begin"/>
      </w:r>
      <w:r w:rsidR="00813B6E">
        <w:instrText xml:space="preserve"> REF _Ref74304949 \r \p \h </w:instrText>
      </w:r>
      <w:r w:rsidR="00813B6E">
        <w:fldChar w:fldCharType="separate"/>
      </w:r>
      <w:r w:rsidR="00A86720">
        <w:t>4.2.2 vyššie</w:t>
      </w:r>
      <w:r w:rsidR="00813B6E">
        <w:fldChar w:fldCharType="end"/>
      </w:r>
      <w:r w:rsidR="00BC4D0A">
        <w:t>.</w:t>
      </w:r>
    </w:p>
    <w:p w14:paraId="3A14A344" w14:textId="224F19E1" w:rsidR="00260FF6" w:rsidRDefault="00260FF6" w:rsidP="00A40297">
      <w:pPr>
        <w:pStyle w:val="Heading4"/>
      </w:pPr>
      <w:r>
        <w:t>Investičné náklady</w:t>
      </w:r>
    </w:p>
    <w:p w14:paraId="70701049" w14:textId="75D34C08" w:rsidR="00C0001C" w:rsidRDefault="00C0001C" w:rsidP="00FA6605">
      <w:pPr>
        <w:pStyle w:val="Caption"/>
      </w:pPr>
      <w:r>
        <w:t xml:space="preserve">Tab. </w:t>
      </w:r>
      <w:r>
        <w:fldChar w:fldCharType="begin"/>
      </w:r>
      <w:r>
        <w:instrText xml:space="preserve"> SEQ Tab. \* ARABIC </w:instrText>
      </w:r>
      <w:r>
        <w:fldChar w:fldCharType="separate"/>
      </w:r>
      <w:r w:rsidR="00A86720">
        <w:rPr>
          <w:noProof/>
        </w:rPr>
        <w:t>26</w:t>
      </w:r>
      <w:r>
        <w:fldChar w:fldCharType="end"/>
      </w:r>
      <w:r>
        <w:t xml:space="preserve"> - Investičné náklady</w:t>
      </w:r>
      <w:r w:rsidR="003771D7">
        <w:t>, variant 1</w:t>
      </w:r>
    </w:p>
    <w:tbl>
      <w:tblPr>
        <w:tblW w:w="9219"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66"/>
        <w:gridCol w:w="992"/>
        <w:gridCol w:w="992"/>
        <w:gridCol w:w="992"/>
        <w:gridCol w:w="992"/>
        <w:gridCol w:w="992"/>
        <w:gridCol w:w="993"/>
      </w:tblGrid>
      <w:tr w:rsidR="00C0001C" w:rsidRPr="00313F9C" w14:paraId="230AAFCF" w14:textId="77777777" w:rsidTr="00180F09">
        <w:trPr>
          <w:trHeight w:val="225"/>
        </w:trPr>
        <w:tc>
          <w:tcPr>
            <w:tcW w:w="3266" w:type="dxa"/>
            <w:tcBorders>
              <w:top w:val="single" w:sz="4" w:space="0" w:color="7F7F7F" w:themeColor="text1" w:themeTint="80"/>
            </w:tcBorders>
            <w:shd w:val="clear" w:color="auto" w:fill="BDD6EE" w:themeFill="accent1" w:themeFillTint="66"/>
            <w:noWrap/>
            <w:vAlign w:val="bottom"/>
            <w:hideMark/>
          </w:tcPr>
          <w:p w14:paraId="40934263" w14:textId="77777777" w:rsidR="00C0001C" w:rsidRPr="009814B7" w:rsidRDefault="00C0001C" w:rsidP="00C0001C">
            <w:pPr>
              <w:spacing w:before="0" w:after="0" w:line="240" w:lineRule="auto"/>
              <w:jc w:val="left"/>
              <w:rPr>
                <w:rFonts w:asciiTheme="minorHAnsi" w:hAnsiTheme="minorHAnsi" w:cstheme="minorHAnsi"/>
                <w:b/>
                <w:bCs/>
                <w:sz w:val="18"/>
                <w:szCs w:val="18"/>
              </w:rPr>
            </w:pPr>
            <w:r w:rsidRPr="009814B7">
              <w:rPr>
                <w:rFonts w:asciiTheme="minorHAnsi" w:hAnsiTheme="minorHAnsi" w:cstheme="minorHAnsi"/>
                <w:b/>
                <w:bCs/>
                <w:sz w:val="18"/>
                <w:szCs w:val="18"/>
              </w:rPr>
              <w:t>1.1 Investičné náklady (EUR) - finančné</w:t>
            </w:r>
          </w:p>
        </w:tc>
        <w:tc>
          <w:tcPr>
            <w:tcW w:w="992" w:type="dxa"/>
            <w:tcBorders>
              <w:top w:val="single" w:sz="4" w:space="0" w:color="7F7F7F" w:themeColor="text1" w:themeTint="80"/>
            </w:tcBorders>
            <w:shd w:val="clear" w:color="auto" w:fill="BDD6EE" w:themeFill="accent1" w:themeFillTint="66"/>
            <w:noWrap/>
            <w:vAlign w:val="center"/>
            <w:hideMark/>
          </w:tcPr>
          <w:p w14:paraId="6C66AB9A" w14:textId="77777777" w:rsidR="00C0001C" w:rsidRPr="009814B7" w:rsidRDefault="00C0001C" w:rsidP="00180F09">
            <w:pPr>
              <w:spacing w:before="0" w:after="0" w:line="240" w:lineRule="auto"/>
              <w:jc w:val="center"/>
              <w:rPr>
                <w:rFonts w:asciiTheme="minorHAnsi" w:hAnsiTheme="minorHAnsi" w:cstheme="minorHAnsi"/>
                <w:b/>
                <w:bCs/>
                <w:sz w:val="18"/>
                <w:szCs w:val="18"/>
              </w:rPr>
            </w:pPr>
            <w:r w:rsidRPr="009814B7">
              <w:rPr>
                <w:rFonts w:asciiTheme="minorHAnsi" w:hAnsiTheme="minorHAnsi" w:cstheme="minorHAnsi"/>
                <w:bCs/>
                <w:sz w:val="18"/>
                <w:szCs w:val="18"/>
              </w:rPr>
              <w:t>Celkom</w:t>
            </w:r>
          </w:p>
        </w:tc>
        <w:tc>
          <w:tcPr>
            <w:tcW w:w="992" w:type="dxa"/>
            <w:shd w:val="clear" w:color="auto" w:fill="BDD6EE" w:themeFill="accent1" w:themeFillTint="66"/>
            <w:noWrap/>
            <w:vAlign w:val="center"/>
            <w:hideMark/>
          </w:tcPr>
          <w:p w14:paraId="39D21268" w14:textId="77777777" w:rsidR="00C0001C" w:rsidRPr="009814B7" w:rsidRDefault="00C0001C" w:rsidP="00180F0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2022</w:t>
            </w:r>
          </w:p>
        </w:tc>
        <w:tc>
          <w:tcPr>
            <w:tcW w:w="992" w:type="dxa"/>
            <w:shd w:val="clear" w:color="auto" w:fill="BDD6EE" w:themeFill="accent1" w:themeFillTint="66"/>
            <w:noWrap/>
            <w:vAlign w:val="center"/>
            <w:hideMark/>
          </w:tcPr>
          <w:p w14:paraId="4B18E324" w14:textId="77777777" w:rsidR="00C0001C" w:rsidRPr="009814B7" w:rsidRDefault="00C0001C" w:rsidP="00180F0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2023</w:t>
            </w:r>
          </w:p>
        </w:tc>
        <w:tc>
          <w:tcPr>
            <w:tcW w:w="992" w:type="dxa"/>
            <w:shd w:val="clear" w:color="auto" w:fill="BDD6EE" w:themeFill="accent1" w:themeFillTint="66"/>
            <w:noWrap/>
            <w:vAlign w:val="center"/>
            <w:hideMark/>
          </w:tcPr>
          <w:p w14:paraId="14CEC13C" w14:textId="77777777" w:rsidR="00C0001C" w:rsidRPr="009814B7" w:rsidRDefault="00C0001C" w:rsidP="00180F0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2024</w:t>
            </w:r>
          </w:p>
        </w:tc>
        <w:tc>
          <w:tcPr>
            <w:tcW w:w="992" w:type="dxa"/>
            <w:shd w:val="clear" w:color="auto" w:fill="BDD6EE" w:themeFill="accent1" w:themeFillTint="66"/>
            <w:noWrap/>
            <w:vAlign w:val="center"/>
            <w:hideMark/>
          </w:tcPr>
          <w:p w14:paraId="5AD7D683" w14:textId="77777777" w:rsidR="00C0001C" w:rsidRPr="009814B7" w:rsidRDefault="00C0001C" w:rsidP="00180F0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2025</w:t>
            </w:r>
          </w:p>
        </w:tc>
        <w:tc>
          <w:tcPr>
            <w:tcW w:w="993" w:type="dxa"/>
            <w:shd w:val="clear" w:color="auto" w:fill="BDD6EE" w:themeFill="accent1" w:themeFillTint="66"/>
            <w:noWrap/>
            <w:vAlign w:val="center"/>
            <w:hideMark/>
          </w:tcPr>
          <w:p w14:paraId="254D56E1" w14:textId="77777777" w:rsidR="00C0001C" w:rsidRPr="009814B7" w:rsidRDefault="00C0001C" w:rsidP="00180F0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2026</w:t>
            </w:r>
          </w:p>
        </w:tc>
      </w:tr>
      <w:tr w:rsidR="000A4BF0" w:rsidRPr="00313F9C" w14:paraId="229D905F" w14:textId="77777777" w:rsidTr="006D3285">
        <w:trPr>
          <w:trHeight w:val="225"/>
        </w:trPr>
        <w:tc>
          <w:tcPr>
            <w:tcW w:w="3266" w:type="dxa"/>
            <w:shd w:val="clear" w:color="auto" w:fill="DEEAF6" w:themeFill="accent1" w:themeFillTint="33"/>
            <w:noWrap/>
            <w:vAlign w:val="bottom"/>
            <w:hideMark/>
          </w:tcPr>
          <w:p w14:paraId="6C076945"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Plánovacie/projektové poplatky</w:t>
            </w:r>
          </w:p>
        </w:tc>
        <w:tc>
          <w:tcPr>
            <w:tcW w:w="992" w:type="dxa"/>
            <w:shd w:val="clear" w:color="auto" w:fill="auto"/>
            <w:noWrap/>
            <w:vAlign w:val="center"/>
            <w:hideMark/>
          </w:tcPr>
          <w:p w14:paraId="735E6A6F" w14:textId="07A41FCA"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08261399" w14:textId="3E644C45"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37CA7E05"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E514A73"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3FA2064D"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45D8A0CC"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5318C652" w14:textId="77777777" w:rsidTr="006D3285">
        <w:trPr>
          <w:trHeight w:val="225"/>
        </w:trPr>
        <w:tc>
          <w:tcPr>
            <w:tcW w:w="3266" w:type="dxa"/>
            <w:shd w:val="clear" w:color="auto" w:fill="DEEAF6" w:themeFill="accent1" w:themeFillTint="33"/>
            <w:noWrap/>
            <w:vAlign w:val="bottom"/>
            <w:hideMark/>
          </w:tcPr>
          <w:p w14:paraId="11B85352"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Výkup pozemkov</w:t>
            </w:r>
          </w:p>
        </w:tc>
        <w:tc>
          <w:tcPr>
            <w:tcW w:w="992" w:type="dxa"/>
            <w:shd w:val="clear" w:color="auto" w:fill="auto"/>
            <w:noWrap/>
            <w:vAlign w:val="center"/>
            <w:hideMark/>
          </w:tcPr>
          <w:p w14:paraId="67613D37" w14:textId="28CEC7C6"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18764B50" w14:textId="1FD2CADA"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0D33F7DC"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1DB86474"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45F26C17"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00297FCF"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32F104DF" w14:textId="77777777" w:rsidTr="006D3285">
        <w:trPr>
          <w:trHeight w:val="225"/>
        </w:trPr>
        <w:tc>
          <w:tcPr>
            <w:tcW w:w="3266" w:type="dxa"/>
            <w:shd w:val="clear" w:color="auto" w:fill="DEEAF6" w:themeFill="accent1" w:themeFillTint="33"/>
            <w:noWrap/>
            <w:vAlign w:val="bottom"/>
            <w:hideMark/>
          </w:tcPr>
          <w:p w14:paraId="787D1260"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Príprava staveniska</w:t>
            </w:r>
          </w:p>
        </w:tc>
        <w:tc>
          <w:tcPr>
            <w:tcW w:w="992" w:type="dxa"/>
            <w:shd w:val="clear" w:color="auto" w:fill="auto"/>
            <w:noWrap/>
            <w:vAlign w:val="center"/>
            <w:hideMark/>
          </w:tcPr>
          <w:p w14:paraId="7136EC40" w14:textId="74BCD174"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63124B5C" w14:textId="0ABC3B31"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4FE1E8DB"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28AEEAA2"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96C10DB"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21CF90C1"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5D49A8D7" w14:textId="77777777" w:rsidTr="006D3285">
        <w:trPr>
          <w:trHeight w:val="225"/>
        </w:trPr>
        <w:tc>
          <w:tcPr>
            <w:tcW w:w="3266" w:type="dxa"/>
            <w:shd w:val="clear" w:color="auto" w:fill="DEEAF6" w:themeFill="accent1" w:themeFillTint="33"/>
            <w:noWrap/>
            <w:vAlign w:val="bottom"/>
            <w:hideMark/>
          </w:tcPr>
          <w:p w14:paraId="6354A0CC"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Zemné práce</w:t>
            </w:r>
          </w:p>
        </w:tc>
        <w:tc>
          <w:tcPr>
            <w:tcW w:w="992" w:type="dxa"/>
            <w:shd w:val="clear" w:color="auto" w:fill="auto"/>
            <w:noWrap/>
            <w:vAlign w:val="center"/>
            <w:hideMark/>
          </w:tcPr>
          <w:p w14:paraId="40A99E62" w14:textId="72377794"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462DDB23" w14:textId="54F34C1F"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83C96C5"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7770E139"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407D49DC"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21874408"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3317F142" w14:textId="77777777" w:rsidTr="006D3285">
        <w:trPr>
          <w:trHeight w:val="225"/>
        </w:trPr>
        <w:tc>
          <w:tcPr>
            <w:tcW w:w="3266" w:type="dxa"/>
            <w:shd w:val="clear" w:color="auto" w:fill="DEEAF6" w:themeFill="accent1" w:themeFillTint="33"/>
            <w:noWrap/>
            <w:vAlign w:val="bottom"/>
            <w:hideMark/>
          </w:tcPr>
          <w:p w14:paraId="6DDF3A50"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Stavebné práce</w:t>
            </w:r>
          </w:p>
        </w:tc>
        <w:tc>
          <w:tcPr>
            <w:tcW w:w="992" w:type="dxa"/>
            <w:shd w:val="clear" w:color="auto" w:fill="auto"/>
            <w:noWrap/>
            <w:vAlign w:val="center"/>
            <w:hideMark/>
          </w:tcPr>
          <w:p w14:paraId="27CCF2B8" w14:textId="14BC15B5" w:rsidR="000A4BF0" w:rsidRPr="005A7D49" w:rsidRDefault="000A4BF0" w:rsidP="006D3285">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tcPr>
          <w:p w14:paraId="7C8846CB" w14:textId="3E47519D" w:rsidR="000A4BF0" w:rsidRPr="005A7D49" w:rsidRDefault="000A4BF0" w:rsidP="006D3285">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tcPr>
          <w:p w14:paraId="1310E4AB" w14:textId="69460554"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tcPr>
          <w:p w14:paraId="0A211E9C" w14:textId="3E8757F4"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tcPr>
          <w:p w14:paraId="339FF9C6" w14:textId="241E6EA4" w:rsidR="000A4BF0" w:rsidRPr="005A7D49" w:rsidRDefault="000A4BF0" w:rsidP="000A4BF0">
            <w:pPr>
              <w:spacing w:before="0" w:after="0" w:line="240" w:lineRule="auto"/>
              <w:jc w:val="right"/>
              <w:rPr>
                <w:rFonts w:asciiTheme="minorHAnsi" w:hAnsiTheme="minorHAnsi" w:cstheme="minorHAnsi"/>
                <w:sz w:val="18"/>
                <w:szCs w:val="18"/>
              </w:rPr>
            </w:pPr>
          </w:p>
        </w:tc>
        <w:tc>
          <w:tcPr>
            <w:tcW w:w="993" w:type="dxa"/>
            <w:shd w:val="clear" w:color="auto" w:fill="auto"/>
            <w:noWrap/>
            <w:vAlign w:val="center"/>
          </w:tcPr>
          <w:p w14:paraId="1B3DF620" w14:textId="0F3FF81F" w:rsidR="000A4BF0" w:rsidRPr="005A7D49" w:rsidRDefault="000A4BF0" w:rsidP="000A4BF0">
            <w:pPr>
              <w:spacing w:before="0" w:after="0" w:line="240" w:lineRule="auto"/>
              <w:jc w:val="right"/>
              <w:rPr>
                <w:rFonts w:asciiTheme="minorHAnsi" w:hAnsiTheme="minorHAnsi" w:cstheme="minorHAnsi"/>
                <w:sz w:val="18"/>
                <w:szCs w:val="18"/>
              </w:rPr>
            </w:pPr>
          </w:p>
        </w:tc>
      </w:tr>
      <w:tr w:rsidR="000A4BF0" w:rsidRPr="00313F9C" w14:paraId="58EA9709" w14:textId="77777777" w:rsidTr="006D3285">
        <w:trPr>
          <w:trHeight w:val="225"/>
        </w:trPr>
        <w:tc>
          <w:tcPr>
            <w:tcW w:w="3266" w:type="dxa"/>
            <w:shd w:val="clear" w:color="auto" w:fill="DEEAF6" w:themeFill="accent1" w:themeFillTint="33"/>
            <w:noWrap/>
            <w:vAlign w:val="bottom"/>
            <w:hideMark/>
          </w:tcPr>
          <w:p w14:paraId="77195511"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Technológia a zariadenia</w:t>
            </w:r>
          </w:p>
        </w:tc>
        <w:tc>
          <w:tcPr>
            <w:tcW w:w="992" w:type="dxa"/>
            <w:shd w:val="clear" w:color="auto" w:fill="auto"/>
            <w:noWrap/>
            <w:vAlign w:val="center"/>
            <w:hideMark/>
          </w:tcPr>
          <w:p w14:paraId="21E154CE" w14:textId="0E998F6F"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3 177 268</w:t>
            </w:r>
          </w:p>
        </w:tc>
        <w:tc>
          <w:tcPr>
            <w:tcW w:w="992" w:type="dxa"/>
            <w:shd w:val="clear" w:color="auto" w:fill="auto"/>
            <w:noWrap/>
            <w:vAlign w:val="center"/>
            <w:hideMark/>
          </w:tcPr>
          <w:p w14:paraId="5C7F1E67" w14:textId="34203E29"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3 177 268</w:t>
            </w:r>
          </w:p>
        </w:tc>
        <w:tc>
          <w:tcPr>
            <w:tcW w:w="992" w:type="dxa"/>
            <w:shd w:val="clear" w:color="auto" w:fill="auto"/>
            <w:noWrap/>
            <w:vAlign w:val="center"/>
          </w:tcPr>
          <w:p w14:paraId="13BE3EC5" w14:textId="3AF40256"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047ACDE2"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7639010F"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03EA91DE"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1563AF57" w14:textId="77777777" w:rsidTr="006D3285">
        <w:trPr>
          <w:trHeight w:val="225"/>
        </w:trPr>
        <w:tc>
          <w:tcPr>
            <w:tcW w:w="3266" w:type="dxa"/>
            <w:shd w:val="clear" w:color="auto" w:fill="DEEAF6" w:themeFill="accent1" w:themeFillTint="33"/>
            <w:noWrap/>
            <w:vAlign w:val="bottom"/>
            <w:hideMark/>
          </w:tcPr>
          <w:p w14:paraId="3AB1269C"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Dozor</w:t>
            </w:r>
          </w:p>
        </w:tc>
        <w:tc>
          <w:tcPr>
            <w:tcW w:w="992" w:type="dxa"/>
            <w:shd w:val="clear" w:color="auto" w:fill="auto"/>
            <w:noWrap/>
            <w:vAlign w:val="center"/>
            <w:hideMark/>
          </w:tcPr>
          <w:p w14:paraId="39230F8E" w14:textId="53FD8482"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0</w:t>
            </w:r>
          </w:p>
        </w:tc>
        <w:tc>
          <w:tcPr>
            <w:tcW w:w="992" w:type="dxa"/>
            <w:shd w:val="clear" w:color="auto" w:fill="auto"/>
            <w:noWrap/>
            <w:vAlign w:val="center"/>
            <w:hideMark/>
          </w:tcPr>
          <w:p w14:paraId="11188F1C" w14:textId="3FD1525B"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 </w:t>
            </w:r>
          </w:p>
        </w:tc>
        <w:tc>
          <w:tcPr>
            <w:tcW w:w="992" w:type="dxa"/>
            <w:shd w:val="clear" w:color="auto" w:fill="auto"/>
            <w:noWrap/>
            <w:vAlign w:val="center"/>
          </w:tcPr>
          <w:p w14:paraId="7636D473" w14:textId="340B40D8"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30813138"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74A0B7B"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1EA75B3B"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5C57C202" w14:textId="77777777" w:rsidTr="006D3285">
        <w:trPr>
          <w:trHeight w:val="225"/>
        </w:trPr>
        <w:tc>
          <w:tcPr>
            <w:tcW w:w="3266" w:type="dxa"/>
            <w:shd w:val="clear" w:color="auto" w:fill="DEEAF6" w:themeFill="accent1" w:themeFillTint="33"/>
            <w:noWrap/>
            <w:vAlign w:val="bottom"/>
            <w:hideMark/>
          </w:tcPr>
          <w:p w14:paraId="2C4A6C55"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Iné služby (Technická pomoc, Publicita, Externé riadenie)</w:t>
            </w:r>
          </w:p>
        </w:tc>
        <w:tc>
          <w:tcPr>
            <w:tcW w:w="992" w:type="dxa"/>
            <w:shd w:val="clear" w:color="auto" w:fill="auto"/>
            <w:noWrap/>
            <w:vAlign w:val="center"/>
            <w:hideMark/>
          </w:tcPr>
          <w:p w14:paraId="3E2AB68C" w14:textId="5C5152CF"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168 300</w:t>
            </w:r>
          </w:p>
        </w:tc>
        <w:tc>
          <w:tcPr>
            <w:tcW w:w="992" w:type="dxa"/>
            <w:shd w:val="clear" w:color="auto" w:fill="auto"/>
            <w:noWrap/>
            <w:vAlign w:val="center"/>
            <w:hideMark/>
          </w:tcPr>
          <w:p w14:paraId="07A9DF25" w14:textId="36E2C2AA"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168 300</w:t>
            </w:r>
          </w:p>
        </w:tc>
        <w:tc>
          <w:tcPr>
            <w:tcW w:w="992" w:type="dxa"/>
            <w:shd w:val="clear" w:color="auto" w:fill="auto"/>
            <w:noWrap/>
            <w:vAlign w:val="center"/>
          </w:tcPr>
          <w:p w14:paraId="1AE25075" w14:textId="18F74263"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77354CF3"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2D60C2C"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789DE499"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2877FE51" w14:textId="77777777" w:rsidTr="006D3285">
        <w:trPr>
          <w:trHeight w:val="225"/>
        </w:trPr>
        <w:tc>
          <w:tcPr>
            <w:tcW w:w="3266" w:type="dxa"/>
            <w:shd w:val="clear" w:color="auto" w:fill="BDD6EE" w:themeFill="accent1" w:themeFillTint="66"/>
            <w:vAlign w:val="bottom"/>
            <w:hideMark/>
          </w:tcPr>
          <w:p w14:paraId="2DBAAD74" w14:textId="63ED7FDD" w:rsidR="000A4BF0" w:rsidRPr="00A40297" w:rsidRDefault="000A4BF0" w:rsidP="000A4BF0">
            <w:pPr>
              <w:spacing w:before="0" w:after="0" w:line="240" w:lineRule="auto"/>
              <w:jc w:val="left"/>
              <w:rPr>
                <w:rFonts w:asciiTheme="minorHAnsi" w:hAnsiTheme="minorHAnsi" w:cstheme="minorHAnsi"/>
                <w:b/>
                <w:bCs/>
                <w:sz w:val="18"/>
                <w:szCs w:val="18"/>
              </w:rPr>
            </w:pPr>
            <w:r w:rsidRPr="00A40297">
              <w:rPr>
                <w:rFonts w:asciiTheme="minorHAnsi" w:hAnsiTheme="minorHAnsi" w:cstheme="minorHAnsi"/>
                <w:b/>
                <w:bCs/>
                <w:sz w:val="18"/>
                <w:szCs w:val="18"/>
              </w:rPr>
              <w:t>Celkové investičné náklady bez rezervy na nepredvídané výdavky, bez DPH</w:t>
            </w:r>
          </w:p>
        </w:tc>
        <w:tc>
          <w:tcPr>
            <w:tcW w:w="992" w:type="dxa"/>
            <w:shd w:val="clear" w:color="auto" w:fill="BDD6EE" w:themeFill="accent1" w:themeFillTint="66"/>
            <w:vAlign w:val="center"/>
            <w:hideMark/>
          </w:tcPr>
          <w:p w14:paraId="6D9D161A" w14:textId="3452CA14" w:rsidR="000A4BF0" w:rsidRPr="00EF1CB7" w:rsidRDefault="000A4BF0" w:rsidP="006D3285">
            <w:pPr>
              <w:spacing w:before="0" w:after="0" w:line="240" w:lineRule="auto"/>
              <w:jc w:val="right"/>
              <w:rPr>
                <w:rFonts w:asciiTheme="minorHAnsi" w:hAnsiTheme="minorHAnsi" w:cstheme="minorHAnsi"/>
                <w:b/>
                <w:bCs/>
                <w:sz w:val="18"/>
                <w:szCs w:val="18"/>
              </w:rPr>
            </w:pPr>
            <w:r>
              <w:rPr>
                <w:rFonts w:cs="Arial"/>
                <w:b/>
                <w:bCs/>
                <w:sz w:val="16"/>
                <w:szCs w:val="16"/>
              </w:rPr>
              <w:t>3 345 568</w:t>
            </w:r>
          </w:p>
        </w:tc>
        <w:tc>
          <w:tcPr>
            <w:tcW w:w="992" w:type="dxa"/>
            <w:shd w:val="clear" w:color="auto" w:fill="BDD6EE" w:themeFill="accent1" w:themeFillTint="66"/>
            <w:vAlign w:val="center"/>
            <w:hideMark/>
          </w:tcPr>
          <w:p w14:paraId="3E65D0EA" w14:textId="671F1E55" w:rsidR="000A4BF0" w:rsidRPr="00EF1CB7" w:rsidRDefault="000A4BF0" w:rsidP="006D3285">
            <w:pPr>
              <w:spacing w:before="0" w:after="0" w:line="240" w:lineRule="auto"/>
              <w:jc w:val="right"/>
              <w:rPr>
                <w:rFonts w:asciiTheme="minorHAnsi" w:hAnsiTheme="minorHAnsi" w:cstheme="minorHAnsi"/>
                <w:b/>
                <w:bCs/>
                <w:sz w:val="18"/>
                <w:szCs w:val="18"/>
              </w:rPr>
            </w:pPr>
            <w:r>
              <w:rPr>
                <w:rFonts w:cs="Arial"/>
                <w:b/>
                <w:bCs/>
                <w:sz w:val="16"/>
                <w:szCs w:val="16"/>
              </w:rPr>
              <w:t>3 345 568</w:t>
            </w:r>
          </w:p>
        </w:tc>
        <w:tc>
          <w:tcPr>
            <w:tcW w:w="992" w:type="dxa"/>
            <w:shd w:val="clear" w:color="auto" w:fill="BDD6EE" w:themeFill="accent1" w:themeFillTint="66"/>
            <w:vAlign w:val="center"/>
          </w:tcPr>
          <w:p w14:paraId="630C8962" w14:textId="6FB2E7D0"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vAlign w:val="center"/>
            <w:hideMark/>
          </w:tcPr>
          <w:p w14:paraId="72FF4F69"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vAlign w:val="center"/>
            <w:hideMark/>
          </w:tcPr>
          <w:p w14:paraId="4796750B"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3" w:type="dxa"/>
            <w:shd w:val="clear" w:color="auto" w:fill="BDD6EE" w:themeFill="accent1" w:themeFillTint="66"/>
            <w:vAlign w:val="center"/>
            <w:hideMark/>
          </w:tcPr>
          <w:p w14:paraId="7214F13F"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r>
      <w:tr w:rsidR="000A4BF0" w:rsidRPr="00313F9C" w14:paraId="218C7C6E" w14:textId="77777777" w:rsidTr="006D3285">
        <w:trPr>
          <w:trHeight w:val="225"/>
        </w:trPr>
        <w:tc>
          <w:tcPr>
            <w:tcW w:w="3266" w:type="dxa"/>
            <w:shd w:val="clear" w:color="auto" w:fill="DEEAF6" w:themeFill="accent1" w:themeFillTint="33"/>
            <w:noWrap/>
            <w:vAlign w:val="bottom"/>
            <w:hideMark/>
          </w:tcPr>
          <w:p w14:paraId="1E6429CB"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Rezerva na nepredvídané výdavky</w:t>
            </w:r>
          </w:p>
        </w:tc>
        <w:tc>
          <w:tcPr>
            <w:tcW w:w="992" w:type="dxa"/>
            <w:shd w:val="clear" w:color="auto" w:fill="auto"/>
            <w:noWrap/>
            <w:vAlign w:val="center"/>
            <w:hideMark/>
          </w:tcPr>
          <w:p w14:paraId="03A4055A" w14:textId="2FDB7E25"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66 911</w:t>
            </w:r>
          </w:p>
        </w:tc>
        <w:tc>
          <w:tcPr>
            <w:tcW w:w="992" w:type="dxa"/>
            <w:shd w:val="clear" w:color="auto" w:fill="auto"/>
            <w:noWrap/>
            <w:vAlign w:val="center"/>
            <w:hideMark/>
          </w:tcPr>
          <w:p w14:paraId="466DEE70" w14:textId="12830E10"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66 911</w:t>
            </w:r>
          </w:p>
        </w:tc>
        <w:tc>
          <w:tcPr>
            <w:tcW w:w="992" w:type="dxa"/>
            <w:shd w:val="clear" w:color="auto" w:fill="auto"/>
            <w:noWrap/>
            <w:vAlign w:val="center"/>
          </w:tcPr>
          <w:p w14:paraId="026126FE" w14:textId="284F9DC0"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64218BC1"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75FB4EC4"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4509BC60"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332F40E0" w14:textId="77777777" w:rsidTr="006D3285">
        <w:trPr>
          <w:trHeight w:val="225"/>
        </w:trPr>
        <w:tc>
          <w:tcPr>
            <w:tcW w:w="3266" w:type="dxa"/>
            <w:shd w:val="clear" w:color="auto" w:fill="BDD6EE" w:themeFill="accent1" w:themeFillTint="66"/>
            <w:vAlign w:val="bottom"/>
            <w:hideMark/>
          </w:tcPr>
          <w:p w14:paraId="258E3B5D" w14:textId="77777777" w:rsidR="000A4BF0" w:rsidRPr="00A40297" w:rsidRDefault="000A4BF0" w:rsidP="000A4BF0">
            <w:pPr>
              <w:spacing w:before="0" w:after="0" w:line="240" w:lineRule="auto"/>
              <w:jc w:val="left"/>
              <w:rPr>
                <w:rFonts w:asciiTheme="minorHAnsi" w:hAnsiTheme="minorHAnsi" w:cstheme="minorHAnsi"/>
                <w:b/>
                <w:bCs/>
                <w:sz w:val="18"/>
                <w:szCs w:val="18"/>
              </w:rPr>
            </w:pPr>
            <w:r w:rsidRPr="00A40297">
              <w:rPr>
                <w:rFonts w:asciiTheme="minorHAnsi" w:hAnsiTheme="minorHAnsi" w:cstheme="minorHAnsi"/>
                <w:b/>
                <w:bCs/>
                <w:sz w:val="18"/>
                <w:szCs w:val="18"/>
              </w:rPr>
              <w:t>Celkové investičné náklady vrátane rezervy na nepredvídané výdavky</w:t>
            </w:r>
          </w:p>
        </w:tc>
        <w:tc>
          <w:tcPr>
            <w:tcW w:w="992" w:type="dxa"/>
            <w:shd w:val="clear" w:color="auto" w:fill="BDD6EE" w:themeFill="accent1" w:themeFillTint="66"/>
            <w:noWrap/>
            <w:vAlign w:val="center"/>
            <w:hideMark/>
          </w:tcPr>
          <w:p w14:paraId="5C88297D" w14:textId="48BF2D44" w:rsidR="000A4BF0" w:rsidRPr="00EF1CB7" w:rsidRDefault="000A4BF0" w:rsidP="006D3285">
            <w:pPr>
              <w:spacing w:before="0" w:after="0" w:line="240" w:lineRule="auto"/>
              <w:jc w:val="right"/>
              <w:rPr>
                <w:rFonts w:asciiTheme="minorHAnsi" w:hAnsiTheme="minorHAnsi" w:cstheme="minorHAnsi"/>
                <w:b/>
                <w:bCs/>
                <w:sz w:val="18"/>
                <w:szCs w:val="18"/>
              </w:rPr>
            </w:pPr>
            <w:r>
              <w:rPr>
                <w:rFonts w:cs="Arial"/>
                <w:b/>
                <w:bCs/>
                <w:sz w:val="16"/>
                <w:szCs w:val="16"/>
              </w:rPr>
              <w:t>3 412 479</w:t>
            </w:r>
          </w:p>
        </w:tc>
        <w:tc>
          <w:tcPr>
            <w:tcW w:w="992" w:type="dxa"/>
            <w:shd w:val="clear" w:color="auto" w:fill="BDD6EE" w:themeFill="accent1" w:themeFillTint="66"/>
            <w:noWrap/>
            <w:vAlign w:val="center"/>
            <w:hideMark/>
          </w:tcPr>
          <w:p w14:paraId="6EAC7DEB" w14:textId="69385F0B" w:rsidR="000A4BF0" w:rsidRPr="00EF1CB7" w:rsidRDefault="000A4BF0" w:rsidP="006D3285">
            <w:pPr>
              <w:spacing w:before="0" w:after="0" w:line="240" w:lineRule="auto"/>
              <w:jc w:val="right"/>
              <w:rPr>
                <w:rFonts w:asciiTheme="minorHAnsi" w:hAnsiTheme="minorHAnsi" w:cstheme="minorHAnsi"/>
                <w:b/>
                <w:bCs/>
                <w:sz w:val="18"/>
                <w:szCs w:val="18"/>
              </w:rPr>
            </w:pPr>
            <w:r>
              <w:rPr>
                <w:rFonts w:cs="Arial"/>
                <w:b/>
                <w:bCs/>
                <w:sz w:val="16"/>
                <w:szCs w:val="16"/>
              </w:rPr>
              <w:t>3 412 479</w:t>
            </w:r>
          </w:p>
        </w:tc>
        <w:tc>
          <w:tcPr>
            <w:tcW w:w="992" w:type="dxa"/>
            <w:shd w:val="clear" w:color="auto" w:fill="BDD6EE" w:themeFill="accent1" w:themeFillTint="66"/>
            <w:noWrap/>
            <w:vAlign w:val="center"/>
          </w:tcPr>
          <w:p w14:paraId="6A679495" w14:textId="337EC61C"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22BC0DD8"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236BD8A9"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3" w:type="dxa"/>
            <w:shd w:val="clear" w:color="auto" w:fill="BDD6EE" w:themeFill="accent1" w:themeFillTint="66"/>
            <w:noWrap/>
            <w:vAlign w:val="center"/>
            <w:hideMark/>
          </w:tcPr>
          <w:p w14:paraId="7B637FEA"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r>
      <w:tr w:rsidR="000A4BF0" w:rsidRPr="00313F9C" w14:paraId="27284843" w14:textId="77777777" w:rsidTr="006D3285">
        <w:trPr>
          <w:trHeight w:val="225"/>
        </w:trPr>
        <w:tc>
          <w:tcPr>
            <w:tcW w:w="3266" w:type="dxa"/>
            <w:shd w:val="clear" w:color="auto" w:fill="DEEAF6" w:themeFill="accent1" w:themeFillTint="33"/>
            <w:noWrap/>
            <w:vAlign w:val="bottom"/>
            <w:hideMark/>
          </w:tcPr>
          <w:p w14:paraId="36D8976F"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DPH</w:t>
            </w:r>
          </w:p>
        </w:tc>
        <w:tc>
          <w:tcPr>
            <w:tcW w:w="992" w:type="dxa"/>
            <w:shd w:val="clear" w:color="auto" w:fill="auto"/>
            <w:noWrap/>
            <w:vAlign w:val="center"/>
            <w:hideMark/>
          </w:tcPr>
          <w:p w14:paraId="2E3650CC" w14:textId="32A324EE"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682 496</w:t>
            </w:r>
          </w:p>
        </w:tc>
        <w:tc>
          <w:tcPr>
            <w:tcW w:w="992" w:type="dxa"/>
            <w:shd w:val="clear" w:color="auto" w:fill="auto"/>
            <w:noWrap/>
            <w:vAlign w:val="center"/>
            <w:hideMark/>
          </w:tcPr>
          <w:p w14:paraId="74C662EB" w14:textId="37CC8292"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682 496</w:t>
            </w:r>
          </w:p>
        </w:tc>
        <w:tc>
          <w:tcPr>
            <w:tcW w:w="992" w:type="dxa"/>
            <w:shd w:val="clear" w:color="auto" w:fill="auto"/>
            <w:noWrap/>
            <w:vAlign w:val="center"/>
          </w:tcPr>
          <w:p w14:paraId="79CDD624" w14:textId="39D4EA38"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689D1E2F"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E9BDBB2"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6C4827B5"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25CCFCB6" w14:textId="77777777" w:rsidTr="006D3285">
        <w:trPr>
          <w:trHeight w:val="225"/>
        </w:trPr>
        <w:tc>
          <w:tcPr>
            <w:tcW w:w="3266" w:type="dxa"/>
            <w:shd w:val="clear" w:color="auto" w:fill="BDD6EE" w:themeFill="accent1" w:themeFillTint="66"/>
            <w:noWrap/>
            <w:vAlign w:val="bottom"/>
            <w:hideMark/>
          </w:tcPr>
          <w:p w14:paraId="4F68EF68" w14:textId="77777777" w:rsidR="000A4BF0" w:rsidRPr="00A40297" w:rsidRDefault="000A4BF0" w:rsidP="000A4BF0">
            <w:pPr>
              <w:spacing w:before="0" w:after="0" w:line="240" w:lineRule="auto"/>
              <w:jc w:val="left"/>
              <w:rPr>
                <w:rFonts w:asciiTheme="minorHAnsi" w:hAnsiTheme="minorHAnsi" w:cstheme="minorHAnsi"/>
                <w:b/>
                <w:bCs/>
                <w:sz w:val="18"/>
                <w:szCs w:val="18"/>
              </w:rPr>
            </w:pPr>
            <w:r w:rsidRPr="00A40297">
              <w:rPr>
                <w:rFonts w:asciiTheme="minorHAnsi" w:hAnsiTheme="minorHAnsi" w:cstheme="minorHAnsi"/>
                <w:b/>
                <w:bCs/>
                <w:sz w:val="18"/>
                <w:szCs w:val="18"/>
              </w:rPr>
              <w:t>Celkové investičné náklady vrátane DPH</w:t>
            </w:r>
          </w:p>
        </w:tc>
        <w:tc>
          <w:tcPr>
            <w:tcW w:w="992" w:type="dxa"/>
            <w:shd w:val="clear" w:color="auto" w:fill="BDD6EE" w:themeFill="accent1" w:themeFillTint="66"/>
            <w:noWrap/>
            <w:vAlign w:val="center"/>
            <w:hideMark/>
          </w:tcPr>
          <w:p w14:paraId="07B5440C" w14:textId="3BB9F926" w:rsidR="000A4BF0" w:rsidRPr="00EF1CB7" w:rsidRDefault="000A4BF0" w:rsidP="006D3285">
            <w:pPr>
              <w:spacing w:before="0" w:after="0" w:line="240" w:lineRule="auto"/>
              <w:jc w:val="right"/>
              <w:rPr>
                <w:rFonts w:asciiTheme="minorHAnsi" w:hAnsiTheme="minorHAnsi" w:cstheme="minorHAnsi"/>
                <w:b/>
                <w:bCs/>
                <w:sz w:val="18"/>
                <w:szCs w:val="18"/>
              </w:rPr>
            </w:pPr>
            <w:r>
              <w:rPr>
                <w:rFonts w:cs="Arial"/>
                <w:b/>
                <w:bCs/>
                <w:sz w:val="16"/>
                <w:szCs w:val="16"/>
              </w:rPr>
              <w:t>4 094 975</w:t>
            </w:r>
          </w:p>
        </w:tc>
        <w:tc>
          <w:tcPr>
            <w:tcW w:w="992" w:type="dxa"/>
            <w:shd w:val="clear" w:color="auto" w:fill="BDD6EE" w:themeFill="accent1" w:themeFillTint="66"/>
            <w:noWrap/>
            <w:vAlign w:val="center"/>
            <w:hideMark/>
          </w:tcPr>
          <w:p w14:paraId="50003CFA" w14:textId="68980609" w:rsidR="000A4BF0" w:rsidRPr="00EF1CB7" w:rsidRDefault="000A4BF0" w:rsidP="006D3285">
            <w:pPr>
              <w:spacing w:before="0" w:after="0" w:line="240" w:lineRule="auto"/>
              <w:jc w:val="right"/>
              <w:rPr>
                <w:rFonts w:asciiTheme="minorHAnsi" w:hAnsiTheme="minorHAnsi" w:cstheme="minorHAnsi"/>
                <w:b/>
                <w:bCs/>
                <w:sz w:val="18"/>
                <w:szCs w:val="18"/>
              </w:rPr>
            </w:pPr>
            <w:r>
              <w:rPr>
                <w:rFonts w:cs="Arial"/>
                <w:b/>
                <w:bCs/>
                <w:sz w:val="16"/>
                <w:szCs w:val="16"/>
              </w:rPr>
              <w:t>4 094 975</w:t>
            </w:r>
          </w:p>
        </w:tc>
        <w:tc>
          <w:tcPr>
            <w:tcW w:w="992" w:type="dxa"/>
            <w:shd w:val="clear" w:color="auto" w:fill="BDD6EE" w:themeFill="accent1" w:themeFillTint="66"/>
            <w:noWrap/>
            <w:vAlign w:val="center"/>
          </w:tcPr>
          <w:p w14:paraId="34301AA3" w14:textId="4571D954"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347AB48F"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626DA784"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3" w:type="dxa"/>
            <w:shd w:val="clear" w:color="auto" w:fill="BDD6EE" w:themeFill="accent1" w:themeFillTint="66"/>
            <w:noWrap/>
            <w:vAlign w:val="center"/>
            <w:hideMark/>
          </w:tcPr>
          <w:p w14:paraId="23C05D6E"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r>
    </w:tbl>
    <w:p w14:paraId="31D64D8C" w14:textId="79C78136" w:rsidR="00BC4D0A" w:rsidRPr="00DA4343" w:rsidRDefault="00DA4343" w:rsidP="00D3077B">
      <w:pPr>
        <w:rPr>
          <w:i/>
          <w:sz w:val="16"/>
        </w:rPr>
      </w:pPr>
      <w:r w:rsidRPr="00DA4343">
        <w:rPr>
          <w:i/>
          <w:sz w:val="16"/>
        </w:rPr>
        <w:t>Zdroj: Príloha 1, hárok 01</w:t>
      </w:r>
    </w:p>
    <w:p w14:paraId="25360EBB" w14:textId="5765CD10" w:rsidR="00D7676E" w:rsidRDefault="00C0001C" w:rsidP="00D7676E">
      <w:r>
        <w:t>Rezerva na nepredvídané výdavky bola stanovená odhadom vo výške 2 % z celkovej sumy investičných nákladov.</w:t>
      </w:r>
      <w:r w:rsidR="00D7676E">
        <w:t xml:space="preserve"> </w:t>
      </w:r>
    </w:p>
    <w:p w14:paraId="7C0F5A60" w14:textId="2253F98E" w:rsidR="00260FF6" w:rsidRDefault="00260FF6" w:rsidP="00A40297">
      <w:pPr>
        <w:pStyle w:val="Heading4"/>
      </w:pPr>
      <w:r>
        <w:t>Zostatková hodnota</w:t>
      </w:r>
    </w:p>
    <w:p w14:paraId="0E97B46F" w14:textId="0DC2F392" w:rsidR="00260FF6" w:rsidRDefault="00260FF6" w:rsidP="00260FF6">
      <w:r>
        <w:t xml:space="preserve">Realizácia projektu zahŕňa implementáciu IKT technológií s životnosťou 5 rokov. Počas referenčného obdobia v trvaní 5 rokov sa neuvažuje </w:t>
      </w:r>
      <w:r w:rsidR="00C70CE6">
        <w:t>s </w:t>
      </w:r>
      <w:r>
        <w:t>výmenou technologických zariadení.</w:t>
      </w:r>
    </w:p>
    <w:p w14:paraId="094EC610" w14:textId="0235A9E4" w:rsidR="00260FF6" w:rsidRDefault="00260FF6" w:rsidP="00260FF6">
      <w:r>
        <w:t>Na konci referenčného obdobia bude zostatková hodnota IKT technológií nulová.</w:t>
      </w:r>
    </w:p>
    <w:p w14:paraId="7252E780" w14:textId="41DDF871" w:rsidR="00260FF6" w:rsidRDefault="00260FF6" w:rsidP="00FA6605">
      <w:pPr>
        <w:pStyle w:val="Caption"/>
      </w:pPr>
      <w:r>
        <w:t xml:space="preserve">Tab. </w:t>
      </w:r>
      <w:r>
        <w:fldChar w:fldCharType="begin"/>
      </w:r>
      <w:r>
        <w:instrText xml:space="preserve"> SEQ Tab. \* ARABIC </w:instrText>
      </w:r>
      <w:r>
        <w:fldChar w:fldCharType="separate"/>
      </w:r>
      <w:r w:rsidR="00A86720">
        <w:rPr>
          <w:noProof/>
        </w:rPr>
        <w:t>27</w:t>
      </w:r>
      <w:r>
        <w:fldChar w:fldCharType="end"/>
      </w:r>
      <w:r>
        <w:t xml:space="preserve"> - Zostatková hodnota</w:t>
      </w:r>
    </w:p>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7088"/>
        <w:gridCol w:w="2126"/>
      </w:tblGrid>
      <w:tr w:rsidR="00260FF6" w:rsidRPr="00260FF6" w14:paraId="68883F27" w14:textId="77777777" w:rsidTr="00260FF6">
        <w:trPr>
          <w:trHeight w:val="240"/>
        </w:trPr>
        <w:tc>
          <w:tcPr>
            <w:tcW w:w="9214" w:type="dxa"/>
            <w:gridSpan w:val="2"/>
            <w:shd w:val="clear" w:color="auto" w:fill="BDD6EE" w:themeFill="accent1" w:themeFillTint="66"/>
            <w:noWrap/>
            <w:vAlign w:val="bottom"/>
          </w:tcPr>
          <w:p w14:paraId="71D08B98" w14:textId="7B37DC99" w:rsidR="00260FF6" w:rsidRPr="00260FF6" w:rsidRDefault="00260FF6" w:rsidP="00260FF6">
            <w:pPr>
              <w:spacing w:before="0" w:after="0" w:line="240" w:lineRule="auto"/>
              <w:rPr>
                <w:rFonts w:asciiTheme="minorHAnsi" w:hAnsiTheme="minorHAnsi" w:cs="Arial"/>
                <w:b/>
                <w:bCs/>
                <w:sz w:val="18"/>
                <w:szCs w:val="16"/>
              </w:rPr>
            </w:pPr>
            <w:r w:rsidRPr="00260FF6">
              <w:rPr>
                <w:rFonts w:asciiTheme="minorHAnsi" w:hAnsiTheme="minorHAnsi" w:cs="Arial"/>
                <w:b/>
                <w:bCs/>
                <w:sz w:val="18"/>
                <w:szCs w:val="16"/>
              </w:rPr>
              <w:t>2.2 Zostatková hodnota ako čistá súčasná hodnota peňažnýc</w:t>
            </w:r>
            <w:r w:rsidRPr="00260FF6">
              <w:rPr>
                <w:rFonts w:asciiTheme="minorHAnsi" w:hAnsiTheme="minorHAnsi" w:cs="Arial"/>
                <w:b/>
                <w:bCs/>
                <w:sz w:val="18"/>
                <w:szCs w:val="16"/>
                <w:shd w:val="clear" w:color="auto" w:fill="BDD6EE" w:themeFill="accent1" w:themeFillTint="66"/>
              </w:rPr>
              <w:t>h tokov zostávajúcej životnosti po uplynutí referenčného obdobia</w:t>
            </w:r>
          </w:p>
        </w:tc>
      </w:tr>
      <w:tr w:rsidR="00260FF6" w:rsidRPr="00A40297" w14:paraId="3F524CBC" w14:textId="77777777" w:rsidTr="00260FF6">
        <w:trPr>
          <w:trHeight w:val="240"/>
        </w:trPr>
        <w:tc>
          <w:tcPr>
            <w:tcW w:w="7088" w:type="dxa"/>
            <w:shd w:val="clear" w:color="auto" w:fill="DEEAF6" w:themeFill="accent1" w:themeFillTint="33"/>
            <w:noWrap/>
            <w:vAlign w:val="bottom"/>
            <w:hideMark/>
          </w:tcPr>
          <w:p w14:paraId="56182DC3" w14:textId="5830225E" w:rsidR="00260FF6" w:rsidRPr="00260FF6" w:rsidRDefault="00260FF6" w:rsidP="00AE60F4">
            <w:pPr>
              <w:spacing w:before="0" w:after="0" w:line="240" w:lineRule="auto"/>
              <w:jc w:val="left"/>
              <w:rPr>
                <w:rFonts w:asciiTheme="minorHAnsi" w:hAnsiTheme="minorHAnsi" w:cs="Arial"/>
                <w:sz w:val="18"/>
                <w:szCs w:val="16"/>
              </w:rPr>
            </w:pPr>
            <w:r w:rsidRPr="00260FF6">
              <w:rPr>
                <w:rFonts w:asciiTheme="minorHAnsi" w:hAnsiTheme="minorHAnsi" w:cs="Arial"/>
                <w:sz w:val="18"/>
                <w:szCs w:val="16"/>
              </w:rPr>
              <w:t>Zostatková hodnota na základe finančných peňažných toko</w:t>
            </w:r>
            <w:r w:rsidR="00AE60F4">
              <w:rPr>
                <w:rFonts w:asciiTheme="minorHAnsi" w:hAnsiTheme="minorHAnsi" w:cs="Arial"/>
                <w:sz w:val="18"/>
                <w:szCs w:val="16"/>
              </w:rPr>
              <w:t>v</w:t>
            </w:r>
            <w:r w:rsidRPr="00260FF6">
              <w:rPr>
                <w:rFonts w:asciiTheme="minorHAnsi" w:hAnsiTheme="minorHAnsi" w:cs="Arial"/>
                <w:sz w:val="18"/>
                <w:szCs w:val="16"/>
              </w:rPr>
              <w:t xml:space="preserve"> </w:t>
            </w:r>
          </w:p>
        </w:tc>
        <w:tc>
          <w:tcPr>
            <w:tcW w:w="2126" w:type="dxa"/>
            <w:shd w:val="clear" w:color="auto" w:fill="auto"/>
            <w:noWrap/>
            <w:vAlign w:val="bottom"/>
            <w:hideMark/>
          </w:tcPr>
          <w:p w14:paraId="78A07917" w14:textId="77777777" w:rsidR="00260FF6" w:rsidRPr="00A40297" w:rsidRDefault="00260FF6" w:rsidP="00260FF6">
            <w:pPr>
              <w:spacing w:before="0" w:after="0" w:line="240" w:lineRule="auto"/>
              <w:jc w:val="right"/>
              <w:rPr>
                <w:rFonts w:asciiTheme="minorHAnsi" w:hAnsiTheme="minorHAnsi" w:cs="Arial"/>
                <w:bCs/>
                <w:sz w:val="18"/>
                <w:szCs w:val="16"/>
              </w:rPr>
            </w:pPr>
            <w:r w:rsidRPr="00A40297">
              <w:rPr>
                <w:rFonts w:asciiTheme="minorHAnsi" w:hAnsiTheme="minorHAnsi" w:cs="Arial"/>
                <w:bCs/>
                <w:sz w:val="18"/>
                <w:szCs w:val="16"/>
              </w:rPr>
              <w:t>0</w:t>
            </w:r>
          </w:p>
        </w:tc>
      </w:tr>
      <w:tr w:rsidR="00260FF6" w:rsidRPr="00260FF6" w14:paraId="541C3AB1" w14:textId="77777777" w:rsidTr="00260FF6">
        <w:trPr>
          <w:trHeight w:val="240"/>
        </w:trPr>
        <w:tc>
          <w:tcPr>
            <w:tcW w:w="7088" w:type="dxa"/>
            <w:shd w:val="clear" w:color="auto" w:fill="DEEAF6" w:themeFill="accent1" w:themeFillTint="33"/>
            <w:noWrap/>
            <w:vAlign w:val="bottom"/>
            <w:hideMark/>
          </w:tcPr>
          <w:p w14:paraId="535698FE" w14:textId="70F93A7E" w:rsidR="00260FF6" w:rsidRPr="00260FF6" w:rsidRDefault="00260FF6" w:rsidP="00AE60F4">
            <w:pPr>
              <w:spacing w:before="0" w:after="0" w:line="240" w:lineRule="auto"/>
              <w:jc w:val="left"/>
              <w:rPr>
                <w:rFonts w:asciiTheme="minorHAnsi" w:hAnsiTheme="minorHAnsi" w:cs="Arial"/>
                <w:sz w:val="18"/>
                <w:szCs w:val="16"/>
              </w:rPr>
            </w:pPr>
            <w:r w:rsidRPr="00260FF6">
              <w:rPr>
                <w:rFonts w:asciiTheme="minorHAnsi" w:hAnsiTheme="minorHAnsi" w:cs="Arial"/>
                <w:sz w:val="18"/>
                <w:szCs w:val="16"/>
              </w:rPr>
              <w:t>Zostatková hodnota na základe socio-ekonomických peňažných toko</w:t>
            </w:r>
            <w:r w:rsidR="00AE60F4">
              <w:rPr>
                <w:rFonts w:asciiTheme="minorHAnsi" w:hAnsiTheme="minorHAnsi" w:cs="Arial"/>
                <w:sz w:val="18"/>
                <w:szCs w:val="16"/>
              </w:rPr>
              <w:t>v</w:t>
            </w:r>
          </w:p>
        </w:tc>
        <w:tc>
          <w:tcPr>
            <w:tcW w:w="2126" w:type="dxa"/>
            <w:shd w:val="clear" w:color="auto" w:fill="auto"/>
            <w:noWrap/>
            <w:vAlign w:val="bottom"/>
            <w:hideMark/>
          </w:tcPr>
          <w:p w14:paraId="3C383A2A" w14:textId="29140605" w:rsidR="00260FF6" w:rsidRPr="00260FF6" w:rsidRDefault="00260FF6" w:rsidP="00260FF6">
            <w:pPr>
              <w:spacing w:before="0" w:after="0" w:line="240" w:lineRule="auto"/>
              <w:jc w:val="right"/>
              <w:rPr>
                <w:rFonts w:asciiTheme="minorHAnsi" w:hAnsiTheme="minorHAnsi" w:cs="Arial"/>
                <w:sz w:val="18"/>
                <w:szCs w:val="16"/>
              </w:rPr>
            </w:pPr>
            <w:r>
              <w:rPr>
                <w:rFonts w:asciiTheme="minorHAnsi" w:hAnsiTheme="minorHAnsi" w:cs="Arial"/>
                <w:sz w:val="18"/>
                <w:szCs w:val="16"/>
              </w:rPr>
              <w:t>0</w:t>
            </w:r>
          </w:p>
        </w:tc>
      </w:tr>
    </w:tbl>
    <w:p w14:paraId="557D4C73" w14:textId="664DB048" w:rsidR="00DA4343" w:rsidRDefault="00DA4343" w:rsidP="00DA4343">
      <w:pPr>
        <w:rPr>
          <w:i/>
          <w:sz w:val="16"/>
        </w:rPr>
      </w:pPr>
      <w:r w:rsidRPr="00DA4343">
        <w:rPr>
          <w:i/>
          <w:sz w:val="16"/>
        </w:rPr>
        <w:t>Zdroj: Príloha 1, hárok 0</w:t>
      </w:r>
      <w:r>
        <w:rPr>
          <w:i/>
          <w:sz w:val="16"/>
        </w:rPr>
        <w:t>2</w:t>
      </w:r>
    </w:p>
    <w:p w14:paraId="500BF1E6" w14:textId="4CC4ABD5" w:rsidR="00D3077B" w:rsidRDefault="00AE60F4" w:rsidP="00A40297">
      <w:pPr>
        <w:pStyle w:val="Heading4"/>
      </w:pPr>
      <w:r>
        <w:t>Prevádzkové výdavky</w:t>
      </w:r>
    </w:p>
    <w:p w14:paraId="1A448669" w14:textId="7D41BCD4" w:rsidR="00AE60F4" w:rsidRDefault="00AE60F4" w:rsidP="00AE60F4">
      <w:r>
        <w:t xml:space="preserve">Model výdavkov je zostavený na základe rozboru nákladov preferovaného variantu 2, uvedeného v čl. </w:t>
      </w:r>
      <w:r>
        <w:fldChar w:fldCharType="begin"/>
      </w:r>
      <w:r>
        <w:instrText xml:space="preserve"> REF _Ref72244912 \r \p \h </w:instrText>
      </w:r>
      <w:r>
        <w:fldChar w:fldCharType="separate"/>
      </w:r>
      <w:r w:rsidR="00A86720">
        <w:t>4.3.2 vyššie</w:t>
      </w:r>
      <w:r>
        <w:fldChar w:fldCharType="end"/>
      </w:r>
      <w:r>
        <w:t>.</w:t>
      </w:r>
    </w:p>
    <w:p w14:paraId="0AC04AD6" w14:textId="2104AB5E" w:rsidR="00645900" w:rsidRDefault="00645900" w:rsidP="00FA6605">
      <w:pPr>
        <w:pStyle w:val="Caption"/>
      </w:pPr>
      <w:r>
        <w:t xml:space="preserve">Tab. </w:t>
      </w:r>
      <w:r>
        <w:fldChar w:fldCharType="begin"/>
      </w:r>
      <w:r>
        <w:instrText xml:space="preserve"> SEQ Tab. \* ARABIC </w:instrText>
      </w:r>
      <w:r>
        <w:fldChar w:fldCharType="separate"/>
      </w:r>
      <w:r w:rsidR="00A86720">
        <w:rPr>
          <w:noProof/>
        </w:rPr>
        <w:t>28</w:t>
      </w:r>
      <w:r>
        <w:fldChar w:fldCharType="end"/>
      </w:r>
      <w:r>
        <w:t xml:space="preserve"> Prevádzkové výdavky - bez projektu</w:t>
      </w:r>
    </w:p>
    <w:tbl>
      <w:tblPr>
        <w:tblW w:w="9277" w:type="dxa"/>
        <w:tblInd w:w="-5" w:type="dxa"/>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AE60F4" w:rsidRPr="00313F9C" w14:paraId="284A1B39" w14:textId="77777777" w:rsidTr="004E0519">
        <w:trPr>
          <w:trHeight w:val="225"/>
          <w:tblHeader/>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39E8C45D" w14:textId="6A2C2F16" w:rsidR="00AE60F4" w:rsidRPr="005A7D49" w:rsidRDefault="00D7676E" w:rsidP="00AE60F4">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3.1 Prevádzkové výdavky </w:t>
            </w:r>
            <w:r w:rsidRPr="005A7D49">
              <w:rPr>
                <w:rFonts w:asciiTheme="minorHAnsi" w:hAnsiTheme="minorHAnsi" w:cstheme="minorHAnsi"/>
                <w:b/>
                <w:bCs/>
                <w:sz w:val="18"/>
                <w:szCs w:val="18"/>
              </w:rPr>
              <w:br/>
            </w:r>
            <w:r w:rsidR="00AE60F4" w:rsidRPr="005A7D49">
              <w:rPr>
                <w:rFonts w:asciiTheme="minorHAnsi" w:hAnsiTheme="minorHAnsi" w:cstheme="minorHAnsi"/>
                <w:b/>
                <w:bCs/>
                <w:sz w:val="18"/>
                <w:szCs w:val="18"/>
              </w:rPr>
              <w:t>BEZ PROJEKTU</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31C1FCBA" w14:textId="77777777" w:rsidR="00AE60F4" w:rsidRPr="005A7D49" w:rsidRDefault="00AE60F4" w:rsidP="00D7676E">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7A093658" w14:textId="77777777" w:rsidR="00AE60F4" w:rsidRPr="005A7D49" w:rsidRDefault="00AE60F4" w:rsidP="00D7676E">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2022</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4E76D8CF" w14:textId="77777777" w:rsidR="00AE60F4" w:rsidRPr="005A7D49" w:rsidRDefault="00AE60F4" w:rsidP="00D7676E">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40686D5E" w14:textId="77777777" w:rsidR="00AE60F4" w:rsidRPr="005A7D49" w:rsidRDefault="00AE60F4" w:rsidP="00D7676E">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2024</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013885C5" w14:textId="77777777" w:rsidR="00AE60F4" w:rsidRPr="005A7D49" w:rsidRDefault="00AE60F4" w:rsidP="00D7676E">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2025</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70708924" w14:textId="77777777" w:rsidR="00AE60F4" w:rsidRPr="005A7D49" w:rsidRDefault="00AE60F4" w:rsidP="00D7676E">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2026</w:t>
            </w:r>
          </w:p>
        </w:tc>
      </w:tr>
      <w:tr w:rsidR="00AE60F4" w:rsidRPr="00313F9C" w14:paraId="49E1B480" w14:textId="77777777" w:rsidTr="00A40297">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3E03235D" w14:textId="77777777" w:rsidR="00AE60F4" w:rsidRPr="005A7D49" w:rsidRDefault="00AE60F4" w:rsidP="00813B6E">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9706F78" w14:textId="77777777" w:rsidR="00AE60F4" w:rsidRPr="005A7D49" w:rsidRDefault="00AE60F4" w:rsidP="00AE60F4">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971096B"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082F189"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A79004B"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F0D09D3"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23EAF8E"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AE60F4" w:rsidRPr="00313F9C" w14:paraId="71E600BB" w14:textId="77777777" w:rsidTr="00A40297">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72D66B23" w14:textId="77777777" w:rsidR="00AE60F4" w:rsidRPr="005A7D49" w:rsidRDefault="00AE60F4"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6D91959" w14:textId="77777777" w:rsidR="00AE60F4" w:rsidRPr="005A7D49" w:rsidRDefault="00AE60F4" w:rsidP="00AE60F4">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1AE3A14"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3F70DCC"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7D920C0"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FCA5731"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07FCCF0"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AE60F4" w:rsidRPr="00313F9C" w14:paraId="68B8CC86" w14:textId="77777777" w:rsidTr="00A40297">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1FB6F55B" w14:textId="77777777" w:rsidR="00AE60F4" w:rsidRPr="005A7D49" w:rsidRDefault="00AE60F4"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8EF5B6E" w14:textId="77777777" w:rsidR="00AE60F4" w:rsidRPr="005A7D49" w:rsidRDefault="00AE60F4" w:rsidP="00AE60F4">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1936DB8"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FE4EEC2"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CA843D1"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E3EA3BB"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41C320C" w14:textId="77777777" w:rsidR="00AE60F4" w:rsidRPr="005A7D49" w:rsidRDefault="00AE60F4" w:rsidP="00AE60F4">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AE60F4" w:rsidRPr="00313F9C" w14:paraId="1EE3C068" w14:textId="77777777" w:rsidTr="00A40297">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148B2C8A" w14:textId="77777777" w:rsidR="00AE60F4" w:rsidRPr="005A7D49" w:rsidRDefault="00AE60F4"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A386746"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0DECAAA"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E119442"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37159CE"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E8F05A8"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FD8E55B"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3771D7" w:rsidRPr="00313F9C" w14:paraId="468CEA23" w14:textId="77777777" w:rsidTr="00A40297">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22592249" w14:textId="77777777" w:rsidR="003771D7" w:rsidRPr="005A7D49" w:rsidRDefault="003771D7"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0850F74" w14:textId="661270E9"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358 661 243</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BAEB32E" w14:textId="6C827861"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77 423 397</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81C9D9E" w14:textId="645103FE"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69 789 638</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CD768D4" w14:textId="131310B3"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69 774 133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EDD49DC" w14:textId="5D746C4E"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70 471 769</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A674347" w14:textId="566BDEE6"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71 202 307</w:t>
            </w:r>
          </w:p>
        </w:tc>
      </w:tr>
      <w:tr w:rsidR="003771D7" w:rsidRPr="00313F9C" w14:paraId="7A7CCE48" w14:textId="77777777" w:rsidTr="00A40297">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26FF1769" w14:textId="77777777" w:rsidR="003771D7" w:rsidRPr="005A7D49" w:rsidRDefault="003771D7"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331D0B1" w14:textId="03531359"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91FDCF5" w14:textId="2519DF20"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66C87DB" w14:textId="6C91A564"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CA4C921" w14:textId="2A82EB36"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8C4D866" w14:textId="7B863015"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2AE79A1" w14:textId="65EFA20B" w:rsidR="003771D7" w:rsidRPr="005A7D49" w:rsidRDefault="003771D7" w:rsidP="003771D7">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r>
      <w:tr w:rsidR="003771D7" w:rsidRPr="00313F9C" w14:paraId="6FDC6990" w14:textId="77777777" w:rsidTr="00A40297">
        <w:trPr>
          <w:trHeight w:val="240"/>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center"/>
            <w:hideMark/>
          </w:tcPr>
          <w:p w14:paraId="2102943A" w14:textId="77777777" w:rsidR="003771D7" w:rsidRPr="005A7D49" w:rsidRDefault="003771D7"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7AFD270B" w14:textId="3528691F" w:rsidR="003771D7" w:rsidRPr="005A7D49" w:rsidRDefault="003771D7" w:rsidP="00A4029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358 661 243</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CCFD71E" w14:textId="6A559E07" w:rsidR="003771D7" w:rsidRPr="005A7D49" w:rsidRDefault="003771D7" w:rsidP="00A4029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77 423 397</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C7C7922" w14:textId="719C7597" w:rsidR="003771D7" w:rsidRPr="005A7D49" w:rsidRDefault="003771D7" w:rsidP="00A4029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69 789 638</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E3FE205" w14:textId="1A581626" w:rsidR="003771D7" w:rsidRPr="005A7D49" w:rsidRDefault="003771D7" w:rsidP="00A4029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69 774 133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3CEBD66" w14:textId="40565FAF" w:rsidR="003771D7" w:rsidRPr="005A7D49" w:rsidRDefault="003771D7" w:rsidP="00A4029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70 471 769</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D44B4E5" w14:textId="4CA19909" w:rsidR="003771D7" w:rsidRPr="005A7D49" w:rsidRDefault="003771D7" w:rsidP="00A4029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71 202 307</w:t>
            </w:r>
          </w:p>
        </w:tc>
      </w:tr>
      <w:tr w:rsidR="003771D7" w:rsidRPr="00313F9C" w14:paraId="41F74020" w14:textId="77777777" w:rsidTr="00A40297">
        <w:trPr>
          <w:trHeight w:val="240"/>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75CAB83D" w14:textId="77777777" w:rsidR="003771D7" w:rsidRPr="005A7D49" w:rsidRDefault="003771D7"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7D0AF0F8" w14:textId="6E78CDA7" w:rsidR="003771D7" w:rsidRPr="005A7D49" w:rsidRDefault="003771D7" w:rsidP="003771D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358 661 243</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27CB6131" w14:textId="2B766246" w:rsidR="003771D7" w:rsidRPr="005A7D49" w:rsidRDefault="003771D7" w:rsidP="003771D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77 423 397</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405C5B75" w14:textId="77A4F2C4" w:rsidR="003771D7" w:rsidRPr="005A7D49" w:rsidRDefault="003771D7" w:rsidP="003771D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69 789 638</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322D7C5C" w14:textId="0E023328" w:rsidR="003771D7" w:rsidRPr="005A7D49" w:rsidRDefault="003771D7" w:rsidP="003771D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69 774 133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16089BA2" w14:textId="05713304" w:rsidR="003771D7" w:rsidRPr="005A7D49" w:rsidRDefault="003771D7" w:rsidP="003771D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70 471 769</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634750E5" w14:textId="4F4DB231" w:rsidR="003771D7" w:rsidRPr="005A7D49" w:rsidRDefault="003771D7" w:rsidP="003771D7">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71 202 307</w:t>
            </w:r>
          </w:p>
        </w:tc>
      </w:tr>
    </w:tbl>
    <w:p w14:paraId="4B63469F" w14:textId="0E590089" w:rsidR="00DA4343" w:rsidRPr="00DA4343" w:rsidRDefault="00DA4343" w:rsidP="00DA4343">
      <w:pPr>
        <w:rPr>
          <w:i/>
          <w:sz w:val="16"/>
        </w:rPr>
      </w:pPr>
      <w:r w:rsidRPr="00DA4343">
        <w:rPr>
          <w:i/>
          <w:sz w:val="16"/>
        </w:rPr>
        <w:lastRenderedPageBreak/>
        <w:t xml:space="preserve">Zdroj: Príloha 1, hárok </w:t>
      </w:r>
      <w:r>
        <w:rPr>
          <w:i/>
          <w:sz w:val="16"/>
        </w:rPr>
        <w:t>03</w:t>
      </w:r>
    </w:p>
    <w:p w14:paraId="6D5596E3" w14:textId="77777777" w:rsidR="00DA4343" w:rsidRDefault="00DA4343" w:rsidP="00FA6605">
      <w:pPr>
        <w:pStyle w:val="Caption"/>
      </w:pPr>
    </w:p>
    <w:p w14:paraId="6C587D5A" w14:textId="189E954F" w:rsidR="00645900" w:rsidRDefault="00645900" w:rsidP="00FA6605">
      <w:pPr>
        <w:pStyle w:val="Caption"/>
      </w:pPr>
      <w:r>
        <w:t xml:space="preserve">Tab. </w:t>
      </w:r>
      <w:r>
        <w:fldChar w:fldCharType="begin"/>
      </w:r>
      <w:r>
        <w:instrText xml:space="preserve"> SEQ Tab. \* ARABIC </w:instrText>
      </w:r>
      <w:r>
        <w:fldChar w:fldCharType="separate"/>
      </w:r>
      <w:r w:rsidR="00A86720">
        <w:rPr>
          <w:noProof/>
        </w:rPr>
        <w:t>29</w:t>
      </w:r>
      <w:r>
        <w:fldChar w:fldCharType="end"/>
      </w:r>
      <w:r>
        <w:t xml:space="preserve"> - Prevádzkové výdavky – s projektom, variant </w:t>
      </w:r>
      <w:r w:rsidR="003771D7">
        <w:t>1</w:t>
      </w:r>
    </w:p>
    <w:tbl>
      <w:tblPr>
        <w:tblW w:w="92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AE60F4" w:rsidRPr="00313F9C" w14:paraId="31F1C6F1" w14:textId="77777777" w:rsidTr="004E0519">
        <w:trPr>
          <w:trHeight w:val="225"/>
        </w:trPr>
        <w:tc>
          <w:tcPr>
            <w:tcW w:w="2977" w:type="dxa"/>
            <w:shd w:val="clear" w:color="auto" w:fill="BDD6EE" w:themeFill="accent1" w:themeFillTint="66"/>
            <w:noWrap/>
            <w:vAlign w:val="bottom"/>
            <w:hideMark/>
          </w:tcPr>
          <w:p w14:paraId="17A43C73" w14:textId="31CA1435" w:rsidR="00AE60F4" w:rsidRPr="005A7D49" w:rsidRDefault="004E0519" w:rsidP="00AE60F4">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3.2 Prevádzkové výdavky  </w:t>
            </w:r>
            <w:r w:rsidRPr="005A7D49">
              <w:rPr>
                <w:rFonts w:asciiTheme="minorHAnsi" w:hAnsiTheme="minorHAnsi" w:cstheme="minorHAnsi"/>
                <w:b/>
                <w:bCs/>
                <w:sz w:val="18"/>
                <w:szCs w:val="18"/>
              </w:rPr>
              <w:br/>
            </w:r>
            <w:r w:rsidR="00AE60F4" w:rsidRPr="005A7D49">
              <w:rPr>
                <w:rFonts w:asciiTheme="minorHAnsi" w:hAnsiTheme="minorHAnsi" w:cstheme="minorHAnsi"/>
                <w:b/>
                <w:bCs/>
                <w:sz w:val="18"/>
                <w:szCs w:val="18"/>
              </w:rPr>
              <w:t>S PROJEKTOM</w:t>
            </w:r>
          </w:p>
        </w:tc>
        <w:tc>
          <w:tcPr>
            <w:tcW w:w="1380" w:type="dxa"/>
            <w:shd w:val="clear" w:color="auto" w:fill="BDD6EE" w:themeFill="accent1" w:themeFillTint="66"/>
            <w:noWrap/>
            <w:vAlign w:val="center"/>
            <w:hideMark/>
          </w:tcPr>
          <w:p w14:paraId="12AFC273" w14:textId="77777777" w:rsidR="00AE60F4" w:rsidRPr="005A7D49" w:rsidRDefault="00AE60F4" w:rsidP="004E0519">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shd w:val="clear" w:color="auto" w:fill="BDD6EE" w:themeFill="accent1" w:themeFillTint="66"/>
            <w:noWrap/>
            <w:vAlign w:val="center"/>
            <w:hideMark/>
          </w:tcPr>
          <w:p w14:paraId="7BC37D5E" w14:textId="77777777" w:rsidR="00AE60F4" w:rsidRPr="005A7D49" w:rsidRDefault="00AE60F4" w:rsidP="004E051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2022</w:t>
            </w:r>
          </w:p>
        </w:tc>
        <w:tc>
          <w:tcPr>
            <w:tcW w:w="980" w:type="dxa"/>
            <w:shd w:val="clear" w:color="auto" w:fill="BDD6EE" w:themeFill="accent1" w:themeFillTint="66"/>
            <w:noWrap/>
            <w:vAlign w:val="center"/>
            <w:hideMark/>
          </w:tcPr>
          <w:p w14:paraId="15AD8190" w14:textId="77777777" w:rsidR="00AE60F4" w:rsidRPr="005A7D49" w:rsidRDefault="00AE60F4" w:rsidP="004E051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2023</w:t>
            </w:r>
          </w:p>
        </w:tc>
        <w:tc>
          <w:tcPr>
            <w:tcW w:w="980" w:type="dxa"/>
            <w:shd w:val="clear" w:color="auto" w:fill="BDD6EE" w:themeFill="accent1" w:themeFillTint="66"/>
            <w:noWrap/>
            <w:vAlign w:val="center"/>
            <w:hideMark/>
          </w:tcPr>
          <w:p w14:paraId="3C503DAA" w14:textId="77777777" w:rsidR="00AE60F4" w:rsidRPr="005A7D49" w:rsidRDefault="00AE60F4" w:rsidP="004E051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2024</w:t>
            </w:r>
          </w:p>
        </w:tc>
        <w:tc>
          <w:tcPr>
            <w:tcW w:w="980" w:type="dxa"/>
            <w:shd w:val="clear" w:color="auto" w:fill="BDD6EE" w:themeFill="accent1" w:themeFillTint="66"/>
            <w:noWrap/>
            <w:vAlign w:val="center"/>
            <w:hideMark/>
          </w:tcPr>
          <w:p w14:paraId="6D5A801E" w14:textId="77777777" w:rsidR="00AE60F4" w:rsidRPr="005A7D49" w:rsidRDefault="00AE60F4" w:rsidP="004E051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2025</w:t>
            </w:r>
          </w:p>
        </w:tc>
        <w:tc>
          <w:tcPr>
            <w:tcW w:w="980" w:type="dxa"/>
            <w:shd w:val="clear" w:color="auto" w:fill="BDD6EE" w:themeFill="accent1" w:themeFillTint="66"/>
            <w:noWrap/>
            <w:vAlign w:val="center"/>
            <w:hideMark/>
          </w:tcPr>
          <w:p w14:paraId="43F1E52D" w14:textId="77777777" w:rsidR="00AE60F4" w:rsidRPr="005A7D49" w:rsidRDefault="00AE60F4" w:rsidP="004E051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2026</w:t>
            </w:r>
          </w:p>
        </w:tc>
      </w:tr>
      <w:tr w:rsidR="00AE60F4" w:rsidRPr="00313F9C" w14:paraId="3FA7DDAD" w14:textId="77777777" w:rsidTr="00A40297">
        <w:trPr>
          <w:trHeight w:val="225"/>
        </w:trPr>
        <w:tc>
          <w:tcPr>
            <w:tcW w:w="2977" w:type="dxa"/>
            <w:shd w:val="clear" w:color="auto" w:fill="DEEAF6" w:themeFill="accent1" w:themeFillTint="33"/>
            <w:noWrap/>
            <w:vAlign w:val="center"/>
            <w:hideMark/>
          </w:tcPr>
          <w:p w14:paraId="2369CBFE" w14:textId="77777777" w:rsidR="00AE60F4" w:rsidRPr="005A7D49" w:rsidRDefault="00AE60F4" w:rsidP="00813B6E">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shd w:val="clear" w:color="auto" w:fill="auto"/>
            <w:noWrap/>
            <w:vAlign w:val="center"/>
            <w:hideMark/>
          </w:tcPr>
          <w:p w14:paraId="2CC38AD8" w14:textId="77777777" w:rsidR="00AE60F4" w:rsidRPr="005A7D49" w:rsidRDefault="00AE60F4" w:rsidP="00C81C52">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64B24374"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25D2A1D1"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1C969F40"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5968294C"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0C053AA7"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AE60F4" w:rsidRPr="00313F9C" w14:paraId="43986C63" w14:textId="77777777" w:rsidTr="00A40297">
        <w:trPr>
          <w:trHeight w:val="225"/>
        </w:trPr>
        <w:tc>
          <w:tcPr>
            <w:tcW w:w="2977" w:type="dxa"/>
            <w:shd w:val="clear" w:color="auto" w:fill="DEEAF6" w:themeFill="accent1" w:themeFillTint="33"/>
            <w:noWrap/>
            <w:vAlign w:val="center"/>
            <w:hideMark/>
          </w:tcPr>
          <w:p w14:paraId="25F01ADA" w14:textId="77777777" w:rsidR="00AE60F4" w:rsidRPr="005A7D49" w:rsidRDefault="00AE60F4"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shd w:val="clear" w:color="auto" w:fill="auto"/>
            <w:noWrap/>
            <w:vAlign w:val="center"/>
            <w:hideMark/>
          </w:tcPr>
          <w:p w14:paraId="0742F158"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2E316FC6"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3999B840"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593E475D"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4544AC00"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76876772"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AE60F4" w:rsidRPr="00313F9C" w14:paraId="0F7C474E" w14:textId="77777777" w:rsidTr="00A40297">
        <w:trPr>
          <w:trHeight w:val="225"/>
        </w:trPr>
        <w:tc>
          <w:tcPr>
            <w:tcW w:w="2977" w:type="dxa"/>
            <w:shd w:val="clear" w:color="auto" w:fill="DEEAF6" w:themeFill="accent1" w:themeFillTint="33"/>
            <w:noWrap/>
            <w:vAlign w:val="center"/>
            <w:hideMark/>
          </w:tcPr>
          <w:p w14:paraId="4982E210" w14:textId="77777777" w:rsidR="00AE60F4" w:rsidRPr="005A7D49" w:rsidRDefault="00AE60F4"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shd w:val="clear" w:color="auto" w:fill="auto"/>
            <w:noWrap/>
            <w:vAlign w:val="center"/>
            <w:hideMark/>
          </w:tcPr>
          <w:p w14:paraId="3D276052"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2AA701D5"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63FE0C43"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242955E9"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60D190E0"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62AFDB48"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AE60F4" w:rsidRPr="00313F9C" w14:paraId="62CFF93F" w14:textId="77777777" w:rsidTr="00A40297">
        <w:trPr>
          <w:trHeight w:val="225"/>
        </w:trPr>
        <w:tc>
          <w:tcPr>
            <w:tcW w:w="2977" w:type="dxa"/>
            <w:shd w:val="clear" w:color="auto" w:fill="DEEAF6" w:themeFill="accent1" w:themeFillTint="33"/>
            <w:noWrap/>
            <w:vAlign w:val="center"/>
            <w:hideMark/>
          </w:tcPr>
          <w:p w14:paraId="2DC82F43" w14:textId="77777777" w:rsidR="00AE60F4" w:rsidRPr="005A7D49" w:rsidRDefault="00AE60F4"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shd w:val="clear" w:color="auto" w:fill="auto"/>
            <w:noWrap/>
            <w:vAlign w:val="center"/>
            <w:hideMark/>
          </w:tcPr>
          <w:p w14:paraId="73C9F275"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shd w:val="clear" w:color="auto" w:fill="auto"/>
            <w:noWrap/>
            <w:vAlign w:val="center"/>
            <w:hideMark/>
          </w:tcPr>
          <w:p w14:paraId="25675988"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08E286F5"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75602298"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041C06E7"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42416BC3"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0A4BF0" w:rsidRPr="00313F9C" w14:paraId="2927A654" w14:textId="77777777" w:rsidTr="00EF1CB7">
        <w:trPr>
          <w:trHeight w:val="225"/>
        </w:trPr>
        <w:tc>
          <w:tcPr>
            <w:tcW w:w="2977" w:type="dxa"/>
            <w:shd w:val="clear" w:color="auto" w:fill="DEEAF6" w:themeFill="accent1" w:themeFillTint="33"/>
            <w:noWrap/>
            <w:vAlign w:val="center"/>
            <w:hideMark/>
          </w:tcPr>
          <w:p w14:paraId="5F99C4D2" w14:textId="77777777" w:rsidR="000A4BF0" w:rsidRPr="005A7D49" w:rsidRDefault="000A4BF0" w:rsidP="000A4BF0">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shd w:val="clear" w:color="auto" w:fill="auto"/>
            <w:noWrap/>
            <w:vAlign w:val="center"/>
            <w:hideMark/>
          </w:tcPr>
          <w:p w14:paraId="29208B73" w14:textId="2B2C824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358 685 481</w:t>
            </w:r>
          </w:p>
        </w:tc>
        <w:tc>
          <w:tcPr>
            <w:tcW w:w="1000" w:type="dxa"/>
            <w:shd w:val="clear" w:color="auto" w:fill="auto"/>
            <w:noWrap/>
            <w:vAlign w:val="center"/>
            <w:hideMark/>
          </w:tcPr>
          <w:p w14:paraId="6092887A" w14:textId="658FA78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80 404 602</w:t>
            </w:r>
          </w:p>
        </w:tc>
        <w:tc>
          <w:tcPr>
            <w:tcW w:w="980" w:type="dxa"/>
            <w:shd w:val="clear" w:color="auto" w:fill="auto"/>
            <w:noWrap/>
            <w:vAlign w:val="center"/>
            <w:hideMark/>
          </w:tcPr>
          <w:p w14:paraId="708A9805" w14:textId="531BB56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70 039 061</w:t>
            </w:r>
          </w:p>
        </w:tc>
        <w:tc>
          <w:tcPr>
            <w:tcW w:w="980" w:type="dxa"/>
            <w:shd w:val="clear" w:color="auto" w:fill="auto"/>
            <w:noWrap/>
            <w:vAlign w:val="center"/>
            <w:hideMark/>
          </w:tcPr>
          <w:p w14:paraId="0FF6E0A5" w14:textId="690BCAF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69 302 938</w:t>
            </w:r>
          </w:p>
        </w:tc>
        <w:tc>
          <w:tcPr>
            <w:tcW w:w="980" w:type="dxa"/>
            <w:shd w:val="clear" w:color="auto" w:fill="auto"/>
            <w:noWrap/>
            <w:vAlign w:val="center"/>
            <w:hideMark/>
          </w:tcPr>
          <w:p w14:paraId="0D14D1EB" w14:textId="04768B0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69 305 294</w:t>
            </w:r>
          </w:p>
        </w:tc>
        <w:tc>
          <w:tcPr>
            <w:tcW w:w="980" w:type="dxa"/>
            <w:shd w:val="clear" w:color="auto" w:fill="auto"/>
            <w:noWrap/>
            <w:vAlign w:val="center"/>
            <w:hideMark/>
          </w:tcPr>
          <w:p w14:paraId="72C5CBC8" w14:textId="52C0337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69 633 586</w:t>
            </w:r>
          </w:p>
        </w:tc>
      </w:tr>
      <w:tr w:rsidR="000A4BF0" w:rsidRPr="00313F9C" w14:paraId="6F61466B" w14:textId="77777777" w:rsidTr="00EF1CB7">
        <w:trPr>
          <w:trHeight w:val="225"/>
        </w:trPr>
        <w:tc>
          <w:tcPr>
            <w:tcW w:w="2977" w:type="dxa"/>
            <w:shd w:val="clear" w:color="auto" w:fill="DEEAF6" w:themeFill="accent1" w:themeFillTint="33"/>
            <w:noWrap/>
            <w:vAlign w:val="center"/>
            <w:hideMark/>
          </w:tcPr>
          <w:p w14:paraId="7124A2EE" w14:textId="77777777" w:rsidR="000A4BF0" w:rsidRPr="005A7D49" w:rsidRDefault="000A4BF0" w:rsidP="000A4BF0">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shd w:val="clear" w:color="auto" w:fill="auto"/>
            <w:noWrap/>
            <w:vAlign w:val="center"/>
            <w:hideMark/>
          </w:tcPr>
          <w:p w14:paraId="258B6A11" w14:textId="3283C86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000" w:type="dxa"/>
            <w:shd w:val="clear" w:color="auto" w:fill="auto"/>
            <w:noWrap/>
            <w:vAlign w:val="center"/>
            <w:hideMark/>
          </w:tcPr>
          <w:p w14:paraId="7070CD56" w14:textId="04AC05A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980" w:type="dxa"/>
            <w:shd w:val="clear" w:color="auto" w:fill="auto"/>
            <w:noWrap/>
            <w:vAlign w:val="center"/>
            <w:hideMark/>
          </w:tcPr>
          <w:p w14:paraId="3282612B" w14:textId="56611F79"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980" w:type="dxa"/>
            <w:shd w:val="clear" w:color="auto" w:fill="auto"/>
            <w:noWrap/>
            <w:vAlign w:val="center"/>
            <w:hideMark/>
          </w:tcPr>
          <w:p w14:paraId="4ED66B16" w14:textId="670135F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980" w:type="dxa"/>
            <w:shd w:val="clear" w:color="auto" w:fill="auto"/>
            <w:noWrap/>
            <w:vAlign w:val="center"/>
            <w:hideMark/>
          </w:tcPr>
          <w:p w14:paraId="12D71B3D" w14:textId="347FB90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980" w:type="dxa"/>
            <w:shd w:val="clear" w:color="auto" w:fill="auto"/>
            <w:noWrap/>
            <w:vAlign w:val="center"/>
            <w:hideMark/>
          </w:tcPr>
          <w:p w14:paraId="613CAA61" w14:textId="22EAA7F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r>
      <w:tr w:rsidR="000A4BF0" w:rsidRPr="00313F9C" w14:paraId="08D83038" w14:textId="77777777" w:rsidTr="00EF1CB7">
        <w:trPr>
          <w:trHeight w:val="240"/>
        </w:trPr>
        <w:tc>
          <w:tcPr>
            <w:tcW w:w="2977" w:type="dxa"/>
            <w:shd w:val="clear" w:color="auto" w:fill="DEEAF6" w:themeFill="accent1" w:themeFillTint="33"/>
            <w:noWrap/>
            <w:vAlign w:val="center"/>
            <w:hideMark/>
          </w:tcPr>
          <w:p w14:paraId="01D76864" w14:textId="77777777" w:rsidR="000A4BF0" w:rsidRPr="005A7D49" w:rsidRDefault="000A4BF0" w:rsidP="000A4BF0">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shd w:val="clear" w:color="auto" w:fill="auto"/>
            <w:noWrap/>
            <w:vAlign w:val="center"/>
            <w:hideMark/>
          </w:tcPr>
          <w:p w14:paraId="3FCC7EFF" w14:textId="1F39DDA9"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358 685 481</w:t>
            </w:r>
          </w:p>
        </w:tc>
        <w:tc>
          <w:tcPr>
            <w:tcW w:w="1000" w:type="dxa"/>
            <w:shd w:val="clear" w:color="auto" w:fill="auto"/>
            <w:noWrap/>
            <w:vAlign w:val="center"/>
            <w:hideMark/>
          </w:tcPr>
          <w:p w14:paraId="2330DF19" w14:textId="09F961B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80 404 602</w:t>
            </w:r>
          </w:p>
        </w:tc>
        <w:tc>
          <w:tcPr>
            <w:tcW w:w="980" w:type="dxa"/>
            <w:shd w:val="clear" w:color="auto" w:fill="auto"/>
            <w:noWrap/>
            <w:vAlign w:val="center"/>
            <w:hideMark/>
          </w:tcPr>
          <w:p w14:paraId="24EB8020" w14:textId="3F2610E8"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70 039 061</w:t>
            </w:r>
          </w:p>
        </w:tc>
        <w:tc>
          <w:tcPr>
            <w:tcW w:w="980" w:type="dxa"/>
            <w:shd w:val="clear" w:color="auto" w:fill="auto"/>
            <w:noWrap/>
            <w:vAlign w:val="center"/>
            <w:hideMark/>
          </w:tcPr>
          <w:p w14:paraId="799F0E62" w14:textId="326357F1"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69 302 938</w:t>
            </w:r>
          </w:p>
        </w:tc>
        <w:tc>
          <w:tcPr>
            <w:tcW w:w="980" w:type="dxa"/>
            <w:shd w:val="clear" w:color="auto" w:fill="auto"/>
            <w:noWrap/>
            <w:vAlign w:val="center"/>
            <w:hideMark/>
          </w:tcPr>
          <w:p w14:paraId="65F7BFBC" w14:textId="28319337"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69 305 294</w:t>
            </w:r>
          </w:p>
        </w:tc>
        <w:tc>
          <w:tcPr>
            <w:tcW w:w="980" w:type="dxa"/>
            <w:shd w:val="clear" w:color="auto" w:fill="auto"/>
            <w:noWrap/>
            <w:vAlign w:val="center"/>
            <w:hideMark/>
          </w:tcPr>
          <w:p w14:paraId="6C836C21" w14:textId="10E9769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69 633 586</w:t>
            </w:r>
          </w:p>
        </w:tc>
      </w:tr>
      <w:tr w:rsidR="000A4BF0" w:rsidRPr="00313F9C" w14:paraId="14DAE734" w14:textId="77777777" w:rsidTr="00EF1CB7">
        <w:trPr>
          <w:trHeight w:val="240"/>
        </w:trPr>
        <w:tc>
          <w:tcPr>
            <w:tcW w:w="2977" w:type="dxa"/>
            <w:shd w:val="clear" w:color="auto" w:fill="BDD6EE" w:themeFill="accent1" w:themeFillTint="66"/>
            <w:noWrap/>
            <w:vAlign w:val="center"/>
            <w:hideMark/>
          </w:tcPr>
          <w:p w14:paraId="68BE7C21" w14:textId="77777777" w:rsidR="000A4BF0" w:rsidRPr="005A7D49" w:rsidRDefault="000A4BF0" w:rsidP="000A4BF0">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shd w:val="clear" w:color="auto" w:fill="BDD6EE" w:themeFill="accent1" w:themeFillTint="66"/>
            <w:noWrap/>
            <w:vAlign w:val="center"/>
            <w:hideMark/>
          </w:tcPr>
          <w:p w14:paraId="6EACE922" w14:textId="6776DE2F"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358 685 481</w:t>
            </w:r>
          </w:p>
        </w:tc>
        <w:tc>
          <w:tcPr>
            <w:tcW w:w="1000" w:type="dxa"/>
            <w:shd w:val="clear" w:color="auto" w:fill="BDD6EE" w:themeFill="accent1" w:themeFillTint="66"/>
            <w:noWrap/>
            <w:vAlign w:val="center"/>
            <w:hideMark/>
          </w:tcPr>
          <w:p w14:paraId="7A78B3CF" w14:textId="5636A9C8"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80 404 602</w:t>
            </w:r>
          </w:p>
        </w:tc>
        <w:tc>
          <w:tcPr>
            <w:tcW w:w="980" w:type="dxa"/>
            <w:shd w:val="clear" w:color="auto" w:fill="BDD6EE" w:themeFill="accent1" w:themeFillTint="66"/>
            <w:noWrap/>
            <w:vAlign w:val="center"/>
            <w:hideMark/>
          </w:tcPr>
          <w:p w14:paraId="03971326" w14:textId="0A1C4F67"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70 039 061</w:t>
            </w:r>
          </w:p>
        </w:tc>
        <w:tc>
          <w:tcPr>
            <w:tcW w:w="980" w:type="dxa"/>
            <w:shd w:val="clear" w:color="auto" w:fill="BDD6EE" w:themeFill="accent1" w:themeFillTint="66"/>
            <w:noWrap/>
            <w:vAlign w:val="center"/>
            <w:hideMark/>
          </w:tcPr>
          <w:p w14:paraId="55C65186" w14:textId="7B1ECB8D"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69 302 938</w:t>
            </w:r>
          </w:p>
        </w:tc>
        <w:tc>
          <w:tcPr>
            <w:tcW w:w="980" w:type="dxa"/>
            <w:shd w:val="clear" w:color="auto" w:fill="BDD6EE" w:themeFill="accent1" w:themeFillTint="66"/>
            <w:noWrap/>
            <w:vAlign w:val="center"/>
            <w:hideMark/>
          </w:tcPr>
          <w:p w14:paraId="34326EC7" w14:textId="6773D5B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69 305 294</w:t>
            </w:r>
          </w:p>
        </w:tc>
        <w:tc>
          <w:tcPr>
            <w:tcW w:w="980" w:type="dxa"/>
            <w:shd w:val="clear" w:color="auto" w:fill="BDD6EE" w:themeFill="accent1" w:themeFillTint="66"/>
            <w:noWrap/>
            <w:vAlign w:val="center"/>
            <w:hideMark/>
          </w:tcPr>
          <w:p w14:paraId="0DD08DC1" w14:textId="61DA79C3"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69 633 586</w:t>
            </w:r>
          </w:p>
        </w:tc>
      </w:tr>
    </w:tbl>
    <w:p w14:paraId="2F0911AB" w14:textId="22DCEF74" w:rsidR="00AE60F4" w:rsidRDefault="00DA4343">
      <w:pPr>
        <w:rPr>
          <w:i/>
          <w:sz w:val="16"/>
        </w:rPr>
      </w:pPr>
      <w:r w:rsidRPr="00DA4343">
        <w:rPr>
          <w:i/>
          <w:sz w:val="16"/>
        </w:rPr>
        <w:t xml:space="preserve">Zdroj: Príloha 1, hárok </w:t>
      </w:r>
      <w:r>
        <w:rPr>
          <w:i/>
          <w:sz w:val="16"/>
        </w:rPr>
        <w:t>03</w:t>
      </w:r>
    </w:p>
    <w:p w14:paraId="1CAC00BE" w14:textId="77777777" w:rsidR="00DA4343" w:rsidRDefault="00DA4343"/>
    <w:p w14:paraId="3D153172" w14:textId="6124E811" w:rsidR="00645900" w:rsidRDefault="00645900" w:rsidP="00FA6605">
      <w:pPr>
        <w:pStyle w:val="Caption"/>
      </w:pPr>
      <w:r>
        <w:t xml:space="preserve">Tab. </w:t>
      </w:r>
      <w:r>
        <w:fldChar w:fldCharType="begin"/>
      </w:r>
      <w:r>
        <w:instrText xml:space="preserve"> SEQ Tab. \* ARABIC </w:instrText>
      </w:r>
      <w:r>
        <w:fldChar w:fldCharType="separate"/>
      </w:r>
      <w:r w:rsidR="00A86720">
        <w:rPr>
          <w:noProof/>
        </w:rPr>
        <w:t>30</w:t>
      </w:r>
      <w:r>
        <w:fldChar w:fldCharType="end"/>
      </w:r>
      <w:r>
        <w:t xml:space="preserve"> - Prevádzkové výdavky - inkrementálne, variant </w:t>
      </w:r>
      <w:r w:rsidR="00813B6E">
        <w:t>1</w:t>
      </w:r>
    </w:p>
    <w:tbl>
      <w:tblPr>
        <w:tblW w:w="92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AE60F4" w:rsidRPr="00313F9C" w14:paraId="47FE36F4" w14:textId="77777777" w:rsidTr="004E0519">
        <w:trPr>
          <w:trHeight w:val="225"/>
        </w:trPr>
        <w:tc>
          <w:tcPr>
            <w:tcW w:w="2977" w:type="dxa"/>
            <w:shd w:val="clear" w:color="auto" w:fill="BDD6EE" w:themeFill="accent1" w:themeFillTint="66"/>
            <w:noWrap/>
            <w:vAlign w:val="bottom"/>
            <w:hideMark/>
          </w:tcPr>
          <w:p w14:paraId="58C40110" w14:textId="2D415E5C" w:rsidR="00AE60F4" w:rsidRPr="005A7D49" w:rsidRDefault="004E0519" w:rsidP="00AE60F4">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3.3  Prevádzkové výdavky  </w:t>
            </w:r>
            <w:r w:rsidRPr="005A7D49">
              <w:rPr>
                <w:rFonts w:asciiTheme="minorHAnsi" w:hAnsiTheme="minorHAnsi" w:cstheme="minorHAnsi"/>
                <w:b/>
                <w:bCs/>
                <w:sz w:val="18"/>
                <w:szCs w:val="18"/>
              </w:rPr>
              <w:br/>
            </w:r>
            <w:r w:rsidR="00AE60F4" w:rsidRPr="005A7D49">
              <w:rPr>
                <w:rFonts w:asciiTheme="minorHAnsi" w:hAnsiTheme="minorHAnsi" w:cstheme="minorHAnsi"/>
                <w:b/>
                <w:bCs/>
                <w:sz w:val="18"/>
                <w:szCs w:val="18"/>
              </w:rPr>
              <w:t>Inkrementálne (PRÍRASTKOVÉ)</w:t>
            </w:r>
          </w:p>
        </w:tc>
        <w:tc>
          <w:tcPr>
            <w:tcW w:w="1380" w:type="dxa"/>
            <w:shd w:val="clear" w:color="auto" w:fill="BDD6EE" w:themeFill="accent1" w:themeFillTint="66"/>
            <w:noWrap/>
            <w:vAlign w:val="center"/>
            <w:hideMark/>
          </w:tcPr>
          <w:p w14:paraId="7269A9C3" w14:textId="77777777" w:rsidR="00AE60F4" w:rsidRPr="005A7D49" w:rsidRDefault="00AE60F4" w:rsidP="004E0519">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shd w:val="clear" w:color="auto" w:fill="BDD6EE" w:themeFill="accent1" w:themeFillTint="66"/>
            <w:noWrap/>
            <w:vAlign w:val="center"/>
            <w:hideMark/>
          </w:tcPr>
          <w:p w14:paraId="5AA28DB5" w14:textId="77777777" w:rsidR="00AE60F4" w:rsidRPr="005A7D49" w:rsidRDefault="00AE60F4" w:rsidP="004E051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2022</w:t>
            </w:r>
          </w:p>
        </w:tc>
        <w:tc>
          <w:tcPr>
            <w:tcW w:w="980" w:type="dxa"/>
            <w:shd w:val="clear" w:color="auto" w:fill="BDD6EE" w:themeFill="accent1" w:themeFillTint="66"/>
            <w:noWrap/>
            <w:vAlign w:val="center"/>
            <w:hideMark/>
          </w:tcPr>
          <w:p w14:paraId="292339F0" w14:textId="77777777" w:rsidR="00AE60F4" w:rsidRPr="005A7D49" w:rsidRDefault="00AE60F4" w:rsidP="004E051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2023</w:t>
            </w:r>
          </w:p>
        </w:tc>
        <w:tc>
          <w:tcPr>
            <w:tcW w:w="980" w:type="dxa"/>
            <w:shd w:val="clear" w:color="auto" w:fill="BDD6EE" w:themeFill="accent1" w:themeFillTint="66"/>
            <w:noWrap/>
            <w:vAlign w:val="center"/>
            <w:hideMark/>
          </w:tcPr>
          <w:p w14:paraId="47727637" w14:textId="77777777" w:rsidR="00AE60F4" w:rsidRPr="005A7D49" w:rsidRDefault="00AE60F4" w:rsidP="004E051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2024</w:t>
            </w:r>
          </w:p>
        </w:tc>
        <w:tc>
          <w:tcPr>
            <w:tcW w:w="980" w:type="dxa"/>
            <w:shd w:val="clear" w:color="auto" w:fill="BDD6EE" w:themeFill="accent1" w:themeFillTint="66"/>
            <w:noWrap/>
            <w:vAlign w:val="center"/>
            <w:hideMark/>
          </w:tcPr>
          <w:p w14:paraId="0D2E0782" w14:textId="77777777" w:rsidR="00AE60F4" w:rsidRPr="005A7D49" w:rsidRDefault="00AE60F4" w:rsidP="004E051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2025</w:t>
            </w:r>
          </w:p>
        </w:tc>
        <w:tc>
          <w:tcPr>
            <w:tcW w:w="980" w:type="dxa"/>
            <w:shd w:val="clear" w:color="auto" w:fill="BDD6EE" w:themeFill="accent1" w:themeFillTint="66"/>
            <w:noWrap/>
            <w:vAlign w:val="center"/>
            <w:hideMark/>
          </w:tcPr>
          <w:p w14:paraId="39E2AC71" w14:textId="77777777" w:rsidR="00AE60F4" w:rsidRPr="005A7D49" w:rsidRDefault="00AE60F4" w:rsidP="004E051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2026</w:t>
            </w:r>
          </w:p>
        </w:tc>
      </w:tr>
      <w:tr w:rsidR="00AE60F4" w:rsidRPr="00313F9C" w14:paraId="69D864BB" w14:textId="77777777" w:rsidTr="00A40297">
        <w:trPr>
          <w:trHeight w:val="225"/>
        </w:trPr>
        <w:tc>
          <w:tcPr>
            <w:tcW w:w="2977" w:type="dxa"/>
            <w:shd w:val="clear" w:color="auto" w:fill="DEEAF6" w:themeFill="accent1" w:themeFillTint="33"/>
            <w:noWrap/>
            <w:vAlign w:val="center"/>
            <w:hideMark/>
          </w:tcPr>
          <w:p w14:paraId="7E8F088D" w14:textId="77777777" w:rsidR="00AE60F4" w:rsidRPr="005A7D49" w:rsidRDefault="00AE60F4" w:rsidP="00813B6E">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shd w:val="clear" w:color="auto" w:fill="auto"/>
            <w:noWrap/>
            <w:vAlign w:val="center"/>
            <w:hideMark/>
          </w:tcPr>
          <w:p w14:paraId="5048083A" w14:textId="77777777" w:rsidR="00AE60F4" w:rsidRPr="005A7D49" w:rsidRDefault="00AE60F4" w:rsidP="00C81C52">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76706E69"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5248AE13"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494AF986"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5C5375BA"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08D83791"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r>
      <w:tr w:rsidR="00AE60F4" w:rsidRPr="00313F9C" w14:paraId="1317B9C9" w14:textId="77777777" w:rsidTr="00A40297">
        <w:trPr>
          <w:trHeight w:val="225"/>
        </w:trPr>
        <w:tc>
          <w:tcPr>
            <w:tcW w:w="2977" w:type="dxa"/>
            <w:shd w:val="clear" w:color="auto" w:fill="DEEAF6" w:themeFill="accent1" w:themeFillTint="33"/>
            <w:noWrap/>
            <w:vAlign w:val="center"/>
            <w:hideMark/>
          </w:tcPr>
          <w:p w14:paraId="2D9D3679" w14:textId="77777777" w:rsidR="00AE60F4" w:rsidRPr="005A7D49" w:rsidRDefault="00AE60F4"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shd w:val="clear" w:color="auto" w:fill="auto"/>
            <w:noWrap/>
            <w:vAlign w:val="center"/>
            <w:hideMark/>
          </w:tcPr>
          <w:p w14:paraId="033F7FF3"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361C4566"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759F35C4"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77DE9DA1"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32522C64"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157DB865"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r>
      <w:tr w:rsidR="00AE60F4" w:rsidRPr="00313F9C" w14:paraId="6D15B821" w14:textId="77777777" w:rsidTr="00A40297">
        <w:trPr>
          <w:trHeight w:val="225"/>
        </w:trPr>
        <w:tc>
          <w:tcPr>
            <w:tcW w:w="2977" w:type="dxa"/>
            <w:shd w:val="clear" w:color="auto" w:fill="DEEAF6" w:themeFill="accent1" w:themeFillTint="33"/>
            <w:noWrap/>
            <w:vAlign w:val="center"/>
            <w:hideMark/>
          </w:tcPr>
          <w:p w14:paraId="103F0540" w14:textId="77777777" w:rsidR="00AE60F4" w:rsidRPr="005A7D49" w:rsidRDefault="00AE60F4"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shd w:val="clear" w:color="auto" w:fill="auto"/>
            <w:noWrap/>
            <w:vAlign w:val="center"/>
            <w:hideMark/>
          </w:tcPr>
          <w:p w14:paraId="5CB928B0"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465AC9DE"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23FF3300"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10544951"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0C8D5264"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center"/>
            <w:hideMark/>
          </w:tcPr>
          <w:p w14:paraId="249E6F04" w14:textId="77777777" w:rsidR="00AE60F4" w:rsidRPr="005A7D49" w:rsidRDefault="00AE60F4"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r>
      <w:tr w:rsidR="00AE60F4" w:rsidRPr="00313F9C" w14:paraId="224A86E8" w14:textId="77777777" w:rsidTr="00A40297">
        <w:trPr>
          <w:trHeight w:val="225"/>
        </w:trPr>
        <w:tc>
          <w:tcPr>
            <w:tcW w:w="2977" w:type="dxa"/>
            <w:shd w:val="clear" w:color="auto" w:fill="DEEAF6" w:themeFill="accent1" w:themeFillTint="33"/>
            <w:noWrap/>
            <w:vAlign w:val="center"/>
            <w:hideMark/>
          </w:tcPr>
          <w:p w14:paraId="7545B55C" w14:textId="77777777" w:rsidR="00AE60F4" w:rsidRPr="005A7D49" w:rsidRDefault="00AE60F4"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shd w:val="clear" w:color="auto" w:fill="auto"/>
            <w:noWrap/>
            <w:vAlign w:val="center"/>
            <w:hideMark/>
          </w:tcPr>
          <w:p w14:paraId="0E4B6F81"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shd w:val="clear" w:color="auto" w:fill="auto"/>
            <w:noWrap/>
            <w:vAlign w:val="center"/>
            <w:hideMark/>
          </w:tcPr>
          <w:p w14:paraId="7F015CAF"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724DA7F2"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2830F137"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78A2A005"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11E1E63E" w14:textId="77777777" w:rsidR="00AE60F4" w:rsidRPr="005A7D49" w:rsidRDefault="00AE60F4"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0A4BF0" w:rsidRPr="00313F9C" w14:paraId="185FC62D" w14:textId="77777777" w:rsidTr="00EF1CB7">
        <w:trPr>
          <w:trHeight w:val="225"/>
        </w:trPr>
        <w:tc>
          <w:tcPr>
            <w:tcW w:w="2977" w:type="dxa"/>
            <w:shd w:val="clear" w:color="auto" w:fill="DEEAF6" w:themeFill="accent1" w:themeFillTint="33"/>
            <w:noWrap/>
            <w:vAlign w:val="center"/>
            <w:hideMark/>
          </w:tcPr>
          <w:p w14:paraId="20263678" w14:textId="77777777" w:rsidR="000A4BF0" w:rsidRPr="005A7D49" w:rsidRDefault="000A4BF0" w:rsidP="000A4BF0">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shd w:val="clear" w:color="auto" w:fill="auto"/>
            <w:noWrap/>
            <w:vAlign w:val="center"/>
            <w:hideMark/>
          </w:tcPr>
          <w:p w14:paraId="7504584E" w14:textId="157E151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24 239</w:t>
            </w:r>
          </w:p>
        </w:tc>
        <w:tc>
          <w:tcPr>
            <w:tcW w:w="1000" w:type="dxa"/>
            <w:shd w:val="clear" w:color="auto" w:fill="auto"/>
            <w:noWrap/>
            <w:vAlign w:val="center"/>
            <w:hideMark/>
          </w:tcPr>
          <w:p w14:paraId="42BCA9D0" w14:textId="20FBF8B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2 981 206</w:t>
            </w:r>
          </w:p>
        </w:tc>
        <w:tc>
          <w:tcPr>
            <w:tcW w:w="980" w:type="dxa"/>
            <w:shd w:val="clear" w:color="auto" w:fill="auto"/>
            <w:noWrap/>
            <w:vAlign w:val="center"/>
            <w:hideMark/>
          </w:tcPr>
          <w:p w14:paraId="5ACB659B" w14:textId="7D8214E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249 423</w:t>
            </w:r>
          </w:p>
        </w:tc>
        <w:tc>
          <w:tcPr>
            <w:tcW w:w="980" w:type="dxa"/>
            <w:shd w:val="clear" w:color="auto" w:fill="auto"/>
            <w:noWrap/>
            <w:vAlign w:val="center"/>
            <w:hideMark/>
          </w:tcPr>
          <w:p w14:paraId="4805CB5E" w14:textId="0269664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-471 195</w:t>
            </w:r>
          </w:p>
        </w:tc>
        <w:tc>
          <w:tcPr>
            <w:tcW w:w="980" w:type="dxa"/>
            <w:shd w:val="clear" w:color="auto" w:fill="auto"/>
            <w:noWrap/>
            <w:vAlign w:val="center"/>
            <w:hideMark/>
          </w:tcPr>
          <w:p w14:paraId="2157A9BF" w14:textId="20862CE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-1 166 475</w:t>
            </w:r>
          </w:p>
        </w:tc>
        <w:tc>
          <w:tcPr>
            <w:tcW w:w="980" w:type="dxa"/>
            <w:shd w:val="clear" w:color="auto" w:fill="auto"/>
            <w:noWrap/>
            <w:vAlign w:val="center"/>
            <w:hideMark/>
          </w:tcPr>
          <w:p w14:paraId="3B17BAA3" w14:textId="4E8E04C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-1 568 721</w:t>
            </w:r>
          </w:p>
        </w:tc>
      </w:tr>
      <w:tr w:rsidR="000A4BF0" w:rsidRPr="00313F9C" w14:paraId="6D1A5F64" w14:textId="77777777" w:rsidTr="00EF1CB7">
        <w:trPr>
          <w:trHeight w:val="225"/>
        </w:trPr>
        <w:tc>
          <w:tcPr>
            <w:tcW w:w="2977" w:type="dxa"/>
            <w:shd w:val="clear" w:color="auto" w:fill="DEEAF6" w:themeFill="accent1" w:themeFillTint="33"/>
            <w:noWrap/>
            <w:vAlign w:val="center"/>
            <w:hideMark/>
          </w:tcPr>
          <w:p w14:paraId="2D426059" w14:textId="77777777" w:rsidR="000A4BF0" w:rsidRPr="005A7D49" w:rsidRDefault="000A4BF0" w:rsidP="000A4BF0">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shd w:val="clear" w:color="auto" w:fill="auto"/>
            <w:noWrap/>
            <w:vAlign w:val="center"/>
            <w:hideMark/>
          </w:tcPr>
          <w:p w14:paraId="6677126B" w14:textId="395A326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000" w:type="dxa"/>
            <w:shd w:val="clear" w:color="auto" w:fill="auto"/>
            <w:noWrap/>
            <w:vAlign w:val="center"/>
            <w:hideMark/>
          </w:tcPr>
          <w:p w14:paraId="010A75C8" w14:textId="544CEA7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09552425" w14:textId="25CBCEE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2258528C" w14:textId="16CCDDB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31637F31" w14:textId="4C637E7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51135114" w14:textId="1FF871A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313F9C" w14:paraId="5544EEF1" w14:textId="77777777" w:rsidTr="00EF1CB7">
        <w:trPr>
          <w:trHeight w:val="240"/>
        </w:trPr>
        <w:tc>
          <w:tcPr>
            <w:tcW w:w="2977" w:type="dxa"/>
            <w:shd w:val="clear" w:color="auto" w:fill="DEEAF6" w:themeFill="accent1" w:themeFillTint="33"/>
            <w:noWrap/>
            <w:vAlign w:val="center"/>
            <w:hideMark/>
          </w:tcPr>
          <w:p w14:paraId="27CA6FDF" w14:textId="77777777" w:rsidR="000A4BF0" w:rsidRPr="005A7D49" w:rsidRDefault="000A4BF0" w:rsidP="000A4BF0">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shd w:val="clear" w:color="auto" w:fill="auto"/>
            <w:noWrap/>
            <w:vAlign w:val="center"/>
            <w:hideMark/>
          </w:tcPr>
          <w:p w14:paraId="1C329142" w14:textId="192CF142"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24 239</w:t>
            </w:r>
          </w:p>
        </w:tc>
        <w:tc>
          <w:tcPr>
            <w:tcW w:w="1000" w:type="dxa"/>
            <w:shd w:val="clear" w:color="auto" w:fill="auto"/>
            <w:noWrap/>
            <w:vAlign w:val="center"/>
            <w:hideMark/>
          </w:tcPr>
          <w:p w14:paraId="5AFB633F" w14:textId="6C301F6E"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2 981 206</w:t>
            </w:r>
          </w:p>
        </w:tc>
        <w:tc>
          <w:tcPr>
            <w:tcW w:w="980" w:type="dxa"/>
            <w:shd w:val="clear" w:color="auto" w:fill="auto"/>
            <w:noWrap/>
            <w:vAlign w:val="center"/>
            <w:hideMark/>
          </w:tcPr>
          <w:p w14:paraId="791B52A8" w14:textId="0D32B07B"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249 423</w:t>
            </w:r>
          </w:p>
        </w:tc>
        <w:tc>
          <w:tcPr>
            <w:tcW w:w="980" w:type="dxa"/>
            <w:shd w:val="clear" w:color="auto" w:fill="auto"/>
            <w:noWrap/>
            <w:vAlign w:val="center"/>
            <w:hideMark/>
          </w:tcPr>
          <w:p w14:paraId="283EF104" w14:textId="6CA9195A"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-471 195</w:t>
            </w:r>
          </w:p>
        </w:tc>
        <w:tc>
          <w:tcPr>
            <w:tcW w:w="980" w:type="dxa"/>
            <w:shd w:val="clear" w:color="auto" w:fill="auto"/>
            <w:noWrap/>
            <w:vAlign w:val="center"/>
            <w:hideMark/>
          </w:tcPr>
          <w:p w14:paraId="11B0F535" w14:textId="2E3E7427"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-1 166 475</w:t>
            </w:r>
          </w:p>
        </w:tc>
        <w:tc>
          <w:tcPr>
            <w:tcW w:w="980" w:type="dxa"/>
            <w:shd w:val="clear" w:color="auto" w:fill="auto"/>
            <w:noWrap/>
            <w:vAlign w:val="center"/>
            <w:hideMark/>
          </w:tcPr>
          <w:p w14:paraId="4CBBA20F" w14:textId="2CFAC9B8"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-1 568 721</w:t>
            </w:r>
          </w:p>
        </w:tc>
      </w:tr>
      <w:tr w:rsidR="000A4BF0" w:rsidRPr="00313F9C" w14:paraId="415C25D7" w14:textId="77777777" w:rsidTr="00EF1CB7">
        <w:trPr>
          <w:trHeight w:val="240"/>
        </w:trPr>
        <w:tc>
          <w:tcPr>
            <w:tcW w:w="2977" w:type="dxa"/>
            <w:shd w:val="clear" w:color="auto" w:fill="BDD6EE" w:themeFill="accent1" w:themeFillTint="66"/>
            <w:noWrap/>
            <w:vAlign w:val="center"/>
            <w:hideMark/>
          </w:tcPr>
          <w:p w14:paraId="508F770E" w14:textId="77777777" w:rsidR="000A4BF0" w:rsidRPr="005A7D49" w:rsidRDefault="000A4BF0" w:rsidP="000A4BF0">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shd w:val="clear" w:color="auto" w:fill="BDD6EE" w:themeFill="accent1" w:themeFillTint="66"/>
            <w:noWrap/>
            <w:vAlign w:val="center"/>
            <w:hideMark/>
          </w:tcPr>
          <w:p w14:paraId="2AD73652" w14:textId="2C19719C"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24 239</w:t>
            </w:r>
          </w:p>
        </w:tc>
        <w:tc>
          <w:tcPr>
            <w:tcW w:w="1000" w:type="dxa"/>
            <w:shd w:val="clear" w:color="auto" w:fill="BDD6EE" w:themeFill="accent1" w:themeFillTint="66"/>
            <w:noWrap/>
            <w:vAlign w:val="center"/>
            <w:hideMark/>
          </w:tcPr>
          <w:p w14:paraId="1D4BA04A" w14:textId="0D079864"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2 981 206</w:t>
            </w:r>
          </w:p>
        </w:tc>
        <w:tc>
          <w:tcPr>
            <w:tcW w:w="980" w:type="dxa"/>
            <w:shd w:val="clear" w:color="auto" w:fill="BDD6EE" w:themeFill="accent1" w:themeFillTint="66"/>
            <w:noWrap/>
            <w:vAlign w:val="center"/>
            <w:hideMark/>
          </w:tcPr>
          <w:p w14:paraId="7950E8B5" w14:textId="776DDBD0"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249 423</w:t>
            </w:r>
          </w:p>
        </w:tc>
        <w:tc>
          <w:tcPr>
            <w:tcW w:w="980" w:type="dxa"/>
            <w:shd w:val="clear" w:color="auto" w:fill="BDD6EE" w:themeFill="accent1" w:themeFillTint="66"/>
            <w:noWrap/>
            <w:vAlign w:val="center"/>
            <w:hideMark/>
          </w:tcPr>
          <w:p w14:paraId="2FFC5FF1" w14:textId="4C96B033"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-471 195</w:t>
            </w:r>
          </w:p>
        </w:tc>
        <w:tc>
          <w:tcPr>
            <w:tcW w:w="980" w:type="dxa"/>
            <w:shd w:val="clear" w:color="auto" w:fill="BDD6EE" w:themeFill="accent1" w:themeFillTint="66"/>
            <w:noWrap/>
            <w:vAlign w:val="center"/>
            <w:hideMark/>
          </w:tcPr>
          <w:p w14:paraId="7FF96183" w14:textId="4BF27542"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-1 166 475</w:t>
            </w:r>
          </w:p>
        </w:tc>
        <w:tc>
          <w:tcPr>
            <w:tcW w:w="980" w:type="dxa"/>
            <w:shd w:val="clear" w:color="auto" w:fill="BDD6EE" w:themeFill="accent1" w:themeFillTint="66"/>
            <w:noWrap/>
            <w:vAlign w:val="center"/>
            <w:hideMark/>
          </w:tcPr>
          <w:p w14:paraId="1D1ECAF0" w14:textId="2F8951EC"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-1 568 721</w:t>
            </w:r>
          </w:p>
        </w:tc>
      </w:tr>
    </w:tbl>
    <w:p w14:paraId="518E2E28" w14:textId="20664152" w:rsidR="003027A0" w:rsidRDefault="00DA4343">
      <w:r w:rsidRPr="00DA4343">
        <w:rPr>
          <w:i/>
          <w:sz w:val="16"/>
        </w:rPr>
        <w:t xml:space="preserve">Zdroj: Príloha 1, hárok </w:t>
      </w:r>
      <w:r>
        <w:rPr>
          <w:i/>
          <w:sz w:val="16"/>
        </w:rPr>
        <w:t>03</w:t>
      </w:r>
    </w:p>
    <w:p w14:paraId="133A15FC" w14:textId="34A7C350" w:rsidR="003027A0" w:rsidRDefault="003027A0">
      <w:pPr>
        <w:spacing w:before="0" w:after="0" w:line="240" w:lineRule="auto"/>
        <w:jc w:val="left"/>
      </w:pPr>
    </w:p>
    <w:p w14:paraId="0F6948F7" w14:textId="1E744CE0" w:rsidR="00BA7D42" w:rsidRDefault="00BA7D42" w:rsidP="00A40297">
      <w:pPr>
        <w:pStyle w:val="Heading3"/>
      </w:pPr>
      <w:bookmarkStart w:id="136" w:name="_Toc74323970"/>
      <w:bookmarkStart w:id="137" w:name="_Toc74324099"/>
      <w:bookmarkStart w:id="138" w:name="_Toc74324211"/>
      <w:bookmarkStart w:id="139" w:name="_Toc74324323"/>
      <w:bookmarkStart w:id="140" w:name="_Toc74324434"/>
      <w:bookmarkStart w:id="141" w:name="_Toc74324544"/>
      <w:bookmarkStart w:id="142" w:name="_Toc74324653"/>
      <w:bookmarkStart w:id="143" w:name="_Toc74324761"/>
      <w:bookmarkStart w:id="144" w:name="_Toc87348747"/>
      <w:bookmarkEnd w:id="136"/>
      <w:bookmarkEnd w:id="137"/>
      <w:bookmarkEnd w:id="138"/>
      <w:bookmarkEnd w:id="139"/>
      <w:bookmarkEnd w:id="140"/>
      <w:bookmarkEnd w:id="141"/>
      <w:bookmarkEnd w:id="142"/>
      <w:bookmarkEnd w:id="143"/>
      <w:r>
        <w:t>Príjmy</w:t>
      </w:r>
      <w:bookmarkEnd w:id="144"/>
    </w:p>
    <w:p w14:paraId="0A844666" w14:textId="65F1DBE3" w:rsidR="00EE191D" w:rsidRDefault="00EE191D" w:rsidP="00A40297">
      <w:pPr>
        <w:pStyle w:val="Heading4"/>
      </w:pPr>
      <w:r>
        <w:t>Príjmy z výberu mýta</w:t>
      </w:r>
    </w:p>
    <w:p w14:paraId="1718C204" w14:textId="0B06E99B" w:rsidR="00753C03" w:rsidRDefault="004B5DE9" w:rsidP="004B5DE9">
      <w:r>
        <w:t>Príjmy projektu sú generované elektronickým výberom mýta</w:t>
      </w:r>
      <w:r w:rsidR="00FA6605">
        <w:t xml:space="preserve"> počas referenčného obdobia</w:t>
      </w:r>
      <w:r>
        <w:t xml:space="preserve">, </w:t>
      </w:r>
      <w:r w:rsidR="00FA6605">
        <w:t>C</w:t>
      </w:r>
      <w:r>
        <w:t xml:space="preserve">elková suma vybraného mýta </w:t>
      </w:r>
      <w:r w:rsidR="00FA6605">
        <w:t xml:space="preserve">prognózovaná na roky 2022 – 2026 </w:t>
      </w:r>
      <w:r>
        <w:t>sa zavedením projektu nezmení</w:t>
      </w:r>
      <w:r w:rsidR="00753C03">
        <w:t xml:space="preserve"> za podmienky, že celková efektívnosť výberu mýta sa vstupom nových subjektov – poskytovateľov EETS </w:t>
      </w:r>
      <w:r w:rsidR="00FA6605">
        <w:t xml:space="preserve">– </w:t>
      </w:r>
      <w:r w:rsidR="00753C03">
        <w:t>nezmení</w:t>
      </w:r>
      <w:r>
        <w:t>.</w:t>
      </w:r>
      <w:r w:rsidR="00753C03">
        <w:t xml:space="preserve"> Navrhované riešenie počíta s kontrolou efektívnosti výberu mýta všetkých poskytovateľov EETS tak, aby boli zachované rovn</w:t>
      </w:r>
      <w:r w:rsidR="00C70CE6">
        <w:t>ak</w:t>
      </w:r>
      <w:r w:rsidR="00753C03">
        <w:t>é podmienky medzi hlavným poskytovateľom SkyToll a poskytovateľmi EETS a</w:t>
      </w:r>
      <w:r w:rsidR="00FA6605">
        <w:t> </w:t>
      </w:r>
      <w:r w:rsidR="00753C03">
        <w:t>zabezpečená</w:t>
      </w:r>
      <w:r w:rsidR="00FA6605">
        <w:t xml:space="preserve"> dostatočná</w:t>
      </w:r>
      <w:r w:rsidR="00753C03">
        <w:t xml:space="preserve"> motivácia k dosahovan</w:t>
      </w:r>
      <w:r w:rsidR="00C70CE6">
        <w:t>iu</w:t>
      </w:r>
      <w:r w:rsidR="00753C03">
        <w:t xml:space="preserve"> maximálnej efektívnosti a nástroje k sankcionovaniu pri nedodržaní minimálnych predpísaných štandardov.</w:t>
      </w:r>
    </w:p>
    <w:p w14:paraId="1E782A32" w14:textId="3109416C" w:rsidR="00EE191D" w:rsidRDefault="00753C03" w:rsidP="004B5DE9">
      <w:r>
        <w:t xml:space="preserve">Na účely tejto analýzy bol </w:t>
      </w:r>
      <w:r w:rsidR="00EE191D">
        <w:t>bez zmeny prevzatý m</w:t>
      </w:r>
      <w:r>
        <w:t>odel príjmov</w:t>
      </w:r>
      <w:r w:rsidR="00EE191D">
        <w:t>,</w:t>
      </w:r>
      <w:r>
        <w:t xml:space="preserve"> spracovaný v </w:t>
      </w:r>
      <w:r w:rsidRPr="00753C03">
        <w:t>Štúdi</w:t>
      </w:r>
      <w:r>
        <w:t>i</w:t>
      </w:r>
      <w:r w:rsidRPr="00753C03">
        <w:t xml:space="preserve"> uskutočniteľnosti EMS</w:t>
      </w:r>
      <w:r>
        <w:t xml:space="preserve"> pre</w:t>
      </w:r>
      <w:r w:rsidRPr="00753C03">
        <w:t xml:space="preserve"> </w:t>
      </w:r>
      <w:r>
        <w:t xml:space="preserve">rozšírený variant VÚC a </w:t>
      </w:r>
      <w:r w:rsidRPr="00753C03">
        <w:t>vyvážený scenár</w:t>
      </w:r>
      <w:r>
        <w:t xml:space="preserve"> prognózy rastu dopravných výkonov</w:t>
      </w:r>
      <w:r w:rsidR="00EE191D">
        <w:t>.</w:t>
      </w:r>
    </w:p>
    <w:p w14:paraId="7FD78A28" w14:textId="3AE4DAB5" w:rsidR="004B5DE9" w:rsidRDefault="00EE191D" w:rsidP="004B5DE9">
      <w:r>
        <w:t>Výsledné hodnoty modelu príjmov z výberu mýta sú uvedené v tabuľkách nižšie.</w:t>
      </w:r>
      <w:r w:rsidR="00753C03">
        <w:t xml:space="preserve">  </w:t>
      </w:r>
    </w:p>
    <w:p w14:paraId="4582BA7A" w14:textId="5F2D5941" w:rsidR="00EE191D" w:rsidRDefault="00EE191D" w:rsidP="00FA6605">
      <w:pPr>
        <w:pStyle w:val="Caption"/>
      </w:pPr>
      <w:r>
        <w:t xml:space="preserve">Tab. </w:t>
      </w:r>
      <w:r>
        <w:fldChar w:fldCharType="begin"/>
      </w:r>
      <w:r>
        <w:instrText xml:space="preserve"> SEQ Tab. \* ARABIC </w:instrText>
      </w:r>
      <w:r>
        <w:fldChar w:fldCharType="separate"/>
      </w:r>
      <w:r w:rsidR="00A86720">
        <w:rPr>
          <w:noProof/>
        </w:rPr>
        <w:t>31</w:t>
      </w:r>
      <w:r>
        <w:fldChar w:fldCharType="end"/>
      </w:r>
      <w:r>
        <w:t xml:space="preserve"> - Príjmy bez projektu</w:t>
      </w:r>
    </w:p>
    <w:tbl>
      <w:tblPr>
        <w:tblW w:w="92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52"/>
        <w:gridCol w:w="1200"/>
        <w:gridCol w:w="1210"/>
        <w:gridCol w:w="1060"/>
        <w:gridCol w:w="1060"/>
        <w:gridCol w:w="1060"/>
        <w:gridCol w:w="1060"/>
      </w:tblGrid>
      <w:tr w:rsidR="00EE191D" w:rsidRPr="00EE191D" w14:paraId="6244380B" w14:textId="77777777" w:rsidTr="00EE191D">
        <w:trPr>
          <w:trHeight w:val="225"/>
        </w:trPr>
        <w:tc>
          <w:tcPr>
            <w:tcW w:w="2552" w:type="dxa"/>
            <w:shd w:val="clear" w:color="auto" w:fill="BDD6EE" w:themeFill="accent1" w:themeFillTint="66"/>
            <w:noWrap/>
            <w:vAlign w:val="bottom"/>
            <w:hideMark/>
          </w:tcPr>
          <w:p w14:paraId="45781A7B" w14:textId="71AF1775" w:rsidR="00EE191D" w:rsidRPr="00EE191D" w:rsidRDefault="00EE191D" w:rsidP="00EE191D">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 4.1 Príjmy BEZ PROJEKTU</w:t>
            </w:r>
          </w:p>
        </w:tc>
        <w:tc>
          <w:tcPr>
            <w:tcW w:w="1200" w:type="dxa"/>
            <w:shd w:val="clear" w:color="auto" w:fill="BDD6EE" w:themeFill="accent1" w:themeFillTint="66"/>
            <w:noWrap/>
            <w:vAlign w:val="bottom"/>
            <w:hideMark/>
          </w:tcPr>
          <w:p w14:paraId="2B9CC683" w14:textId="77777777" w:rsidR="00EE191D" w:rsidRPr="00EE191D" w:rsidRDefault="00EE191D" w:rsidP="00EE191D">
            <w:pPr>
              <w:spacing w:before="0" w:after="0" w:line="240" w:lineRule="auto"/>
              <w:jc w:val="center"/>
              <w:rPr>
                <w:rFonts w:asciiTheme="minorHAnsi" w:hAnsiTheme="minorHAnsi" w:cs="Arial"/>
                <w:bCs/>
                <w:sz w:val="18"/>
                <w:szCs w:val="18"/>
              </w:rPr>
            </w:pPr>
            <w:r w:rsidRPr="00EE191D">
              <w:rPr>
                <w:rFonts w:asciiTheme="minorHAnsi" w:hAnsiTheme="minorHAnsi" w:cs="Arial"/>
                <w:bCs/>
                <w:sz w:val="18"/>
                <w:szCs w:val="18"/>
              </w:rPr>
              <w:t>Celkom</w:t>
            </w:r>
          </w:p>
        </w:tc>
        <w:tc>
          <w:tcPr>
            <w:tcW w:w="1210" w:type="dxa"/>
            <w:shd w:val="clear" w:color="auto" w:fill="BDD6EE" w:themeFill="accent1" w:themeFillTint="66"/>
            <w:noWrap/>
            <w:vAlign w:val="bottom"/>
            <w:hideMark/>
          </w:tcPr>
          <w:p w14:paraId="387863A9" w14:textId="77777777" w:rsidR="00EE191D" w:rsidRPr="00EE191D" w:rsidRDefault="00EE191D" w:rsidP="00EE191D">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2022</w:t>
            </w:r>
          </w:p>
        </w:tc>
        <w:tc>
          <w:tcPr>
            <w:tcW w:w="1060" w:type="dxa"/>
            <w:shd w:val="clear" w:color="auto" w:fill="BDD6EE" w:themeFill="accent1" w:themeFillTint="66"/>
            <w:noWrap/>
            <w:vAlign w:val="bottom"/>
            <w:hideMark/>
          </w:tcPr>
          <w:p w14:paraId="7D941C96" w14:textId="77777777" w:rsidR="00EE191D" w:rsidRPr="00EE191D" w:rsidRDefault="00EE191D" w:rsidP="00EE191D">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2023</w:t>
            </w:r>
          </w:p>
        </w:tc>
        <w:tc>
          <w:tcPr>
            <w:tcW w:w="1060" w:type="dxa"/>
            <w:shd w:val="clear" w:color="auto" w:fill="BDD6EE" w:themeFill="accent1" w:themeFillTint="66"/>
            <w:noWrap/>
            <w:vAlign w:val="bottom"/>
            <w:hideMark/>
          </w:tcPr>
          <w:p w14:paraId="3619B0A9" w14:textId="77777777" w:rsidR="00EE191D" w:rsidRPr="00EE191D" w:rsidRDefault="00EE191D" w:rsidP="00EE191D">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2024</w:t>
            </w:r>
          </w:p>
        </w:tc>
        <w:tc>
          <w:tcPr>
            <w:tcW w:w="1060" w:type="dxa"/>
            <w:shd w:val="clear" w:color="auto" w:fill="BDD6EE" w:themeFill="accent1" w:themeFillTint="66"/>
            <w:noWrap/>
            <w:vAlign w:val="bottom"/>
            <w:hideMark/>
          </w:tcPr>
          <w:p w14:paraId="129B1B23" w14:textId="77777777" w:rsidR="00EE191D" w:rsidRPr="00EE191D" w:rsidRDefault="00EE191D" w:rsidP="00EE191D">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2025</w:t>
            </w:r>
          </w:p>
        </w:tc>
        <w:tc>
          <w:tcPr>
            <w:tcW w:w="1060" w:type="dxa"/>
            <w:shd w:val="clear" w:color="auto" w:fill="BDD6EE" w:themeFill="accent1" w:themeFillTint="66"/>
            <w:noWrap/>
            <w:vAlign w:val="bottom"/>
            <w:hideMark/>
          </w:tcPr>
          <w:p w14:paraId="636CDC17" w14:textId="77777777" w:rsidR="00EE191D" w:rsidRPr="00EE191D" w:rsidRDefault="00EE191D" w:rsidP="00EE191D">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2026</w:t>
            </w:r>
          </w:p>
        </w:tc>
      </w:tr>
      <w:tr w:rsidR="00EE191D" w:rsidRPr="00EE191D" w14:paraId="796AC32D" w14:textId="77777777" w:rsidTr="00EE191D">
        <w:trPr>
          <w:trHeight w:val="225"/>
        </w:trPr>
        <w:tc>
          <w:tcPr>
            <w:tcW w:w="2552" w:type="dxa"/>
            <w:shd w:val="clear" w:color="auto" w:fill="auto"/>
            <w:noWrap/>
            <w:vAlign w:val="bottom"/>
            <w:hideMark/>
          </w:tcPr>
          <w:p w14:paraId="6E26E818" w14:textId="77777777" w:rsidR="00EE191D" w:rsidRPr="00EE191D" w:rsidRDefault="00EE191D" w:rsidP="00EE191D">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Príjmy z mýta</w:t>
            </w:r>
          </w:p>
        </w:tc>
        <w:tc>
          <w:tcPr>
            <w:tcW w:w="1200" w:type="dxa"/>
            <w:shd w:val="clear" w:color="auto" w:fill="auto"/>
            <w:noWrap/>
            <w:vAlign w:val="bottom"/>
            <w:hideMark/>
          </w:tcPr>
          <w:p w14:paraId="65A2C259"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1 234 764 335</w:t>
            </w:r>
          </w:p>
        </w:tc>
        <w:tc>
          <w:tcPr>
            <w:tcW w:w="1210" w:type="dxa"/>
            <w:shd w:val="clear" w:color="auto" w:fill="auto"/>
            <w:noWrap/>
            <w:vAlign w:val="bottom"/>
            <w:hideMark/>
          </w:tcPr>
          <w:p w14:paraId="3006C43F"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233 655 755</w:t>
            </w:r>
          </w:p>
        </w:tc>
        <w:tc>
          <w:tcPr>
            <w:tcW w:w="1060" w:type="dxa"/>
            <w:shd w:val="clear" w:color="auto" w:fill="auto"/>
            <w:noWrap/>
            <w:vAlign w:val="bottom"/>
            <w:hideMark/>
          </w:tcPr>
          <w:p w14:paraId="0EA37EA7"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245 504 057</w:t>
            </w:r>
          </w:p>
        </w:tc>
        <w:tc>
          <w:tcPr>
            <w:tcW w:w="1060" w:type="dxa"/>
            <w:shd w:val="clear" w:color="auto" w:fill="auto"/>
            <w:noWrap/>
            <w:vAlign w:val="bottom"/>
            <w:hideMark/>
          </w:tcPr>
          <w:p w14:paraId="313E975F"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248 712 141</w:t>
            </w:r>
          </w:p>
        </w:tc>
        <w:tc>
          <w:tcPr>
            <w:tcW w:w="1060" w:type="dxa"/>
            <w:shd w:val="clear" w:color="auto" w:fill="auto"/>
            <w:noWrap/>
            <w:vAlign w:val="bottom"/>
            <w:hideMark/>
          </w:tcPr>
          <w:p w14:paraId="4941F506"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251 653 366</w:t>
            </w:r>
          </w:p>
        </w:tc>
        <w:tc>
          <w:tcPr>
            <w:tcW w:w="1060" w:type="dxa"/>
            <w:shd w:val="clear" w:color="auto" w:fill="auto"/>
            <w:noWrap/>
            <w:vAlign w:val="bottom"/>
            <w:hideMark/>
          </w:tcPr>
          <w:p w14:paraId="0261B509"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255 239 016</w:t>
            </w:r>
          </w:p>
        </w:tc>
      </w:tr>
      <w:tr w:rsidR="00EE191D" w:rsidRPr="00EE191D" w14:paraId="3EEE2F78" w14:textId="77777777" w:rsidTr="00EE191D">
        <w:trPr>
          <w:trHeight w:val="225"/>
        </w:trPr>
        <w:tc>
          <w:tcPr>
            <w:tcW w:w="2552" w:type="dxa"/>
            <w:shd w:val="clear" w:color="auto" w:fill="auto"/>
            <w:noWrap/>
            <w:vAlign w:val="bottom"/>
            <w:hideMark/>
          </w:tcPr>
          <w:p w14:paraId="0FCE9C4D" w14:textId="77777777" w:rsidR="00EE191D" w:rsidRPr="00EE191D" w:rsidRDefault="00EE191D" w:rsidP="00EE191D">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Iné príjmy</w:t>
            </w:r>
          </w:p>
        </w:tc>
        <w:tc>
          <w:tcPr>
            <w:tcW w:w="1200" w:type="dxa"/>
            <w:shd w:val="clear" w:color="auto" w:fill="auto"/>
            <w:noWrap/>
            <w:vAlign w:val="bottom"/>
            <w:hideMark/>
          </w:tcPr>
          <w:p w14:paraId="044EDF43"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60D7C409"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50887E09"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1F580746"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0F1BC068"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36B0FD32"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EE191D" w:rsidRPr="00EE191D" w14:paraId="7C297182" w14:textId="77777777" w:rsidTr="00EE191D">
        <w:trPr>
          <w:trHeight w:val="225"/>
        </w:trPr>
        <w:tc>
          <w:tcPr>
            <w:tcW w:w="2552" w:type="dxa"/>
            <w:shd w:val="clear" w:color="auto" w:fill="BDD6EE" w:themeFill="accent1" w:themeFillTint="66"/>
            <w:noWrap/>
            <w:vAlign w:val="bottom"/>
            <w:hideMark/>
          </w:tcPr>
          <w:p w14:paraId="529FF34C" w14:textId="77777777" w:rsidR="00EE191D" w:rsidRPr="00EE191D" w:rsidRDefault="00EE191D" w:rsidP="00EE191D">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Celkové príjmy</w:t>
            </w:r>
          </w:p>
        </w:tc>
        <w:tc>
          <w:tcPr>
            <w:tcW w:w="1200" w:type="dxa"/>
            <w:shd w:val="clear" w:color="auto" w:fill="BDD6EE" w:themeFill="accent1" w:themeFillTint="66"/>
            <w:noWrap/>
            <w:vAlign w:val="bottom"/>
            <w:hideMark/>
          </w:tcPr>
          <w:p w14:paraId="5D45893E"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1 234 764 335</w:t>
            </w:r>
          </w:p>
        </w:tc>
        <w:tc>
          <w:tcPr>
            <w:tcW w:w="1210" w:type="dxa"/>
            <w:shd w:val="clear" w:color="auto" w:fill="BDD6EE" w:themeFill="accent1" w:themeFillTint="66"/>
            <w:noWrap/>
            <w:vAlign w:val="bottom"/>
            <w:hideMark/>
          </w:tcPr>
          <w:p w14:paraId="4FAEF92C"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233 655 755</w:t>
            </w:r>
          </w:p>
        </w:tc>
        <w:tc>
          <w:tcPr>
            <w:tcW w:w="1060" w:type="dxa"/>
            <w:shd w:val="clear" w:color="auto" w:fill="BDD6EE" w:themeFill="accent1" w:themeFillTint="66"/>
            <w:noWrap/>
            <w:vAlign w:val="bottom"/>
            <w:hideMark/>
          </w:tcPr>
          <w:p w14:paraId="0699EB2C"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245 504 057</w:t>
            </w:r>
          </w:p>
        </w:tc>
        <w:tc>
          <w:tcPr>
            <w:tcW w:w="1060" w:type="dxa"/>
            <w:shd w:val="clear" w:color="auto" w:fill="BDD6EE" w:themeFill="accent1" w:themeFillTint="66"/>
            <w:noWrap/>
            <w:vAlign w:val="bottom"/>
            <w:hideMark/>
          </w:tcPr>
          <w:p w14:paraId="59DFB6D2"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248 712 141</w:t>
            </w:r>
          </w:p>
        </w:tc>
        <w:tc>
          <w:tcPr>
            <w:tcW w:w="1060" w:type="dxa"/>
            <w:shd w:val="clear" w:color="auto" w:fill="BDD6EE" w:themeFill="accent1" w:themeFillTint="66"/>
            <w:noWrap/>
            <w:vAlign w:val="bottom"/>
            <w:hideMark/>
          </w:tcPr>
          <w:p w14:paraId="76758D32"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251 653 366</w:t>
            </w:r>
          </w:p>
        </w:tc>
        <w:tc>
          <w:tcPr>
            <w:tcW w:w="1060" w:type="dxa"/>
            <w:shd w:val="clear" w:color="auto" w:fill="BDD6EE" w:themeFill="accent1" w:themeFillTint="66"/>
            <w:noWrap/>
            <w:vAlign w:val="bottom"/>
            <w:hideMark/>
          </w:tcPr>
          <w:p w14:paraId="16B6C17C"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255 239 016</w:t>
            </w:r>
          </w:p>
        </w:tc>
      </w:tr>
    </w:tbl>
    <w:p w14:paraId="2BCC4E95" w14:textId="3022637E" w:rsidR="00EE191D" w:rsidRDefault="00DA4343">
      <w:pPr>
        <w:rPr>
          <w:i/>
          <w:sz w:val="16"/>
        </w:rPr>
      </w:pPr>
      <w:r w:rsidRPr="00DA4343">
        <w:rPr>
          <w:i/>
          <w:sz w:val="16"/>
        </w:rPr>
        <w:t xml:space="preserve">Zdroj: Príloha 1, hárok </w:t>
      </w:r>
      <w:r>
        <w:rPr>
          <w:i/>
          <w:sz w:val="16"/>
        </w:rPr>
        <w:t>04</w:t>
      </w:r>
    </w:p>
    <w:p w14:paraId="2AD1B078" w14:textId="5D422197" w:rsidR="00EE191D" w:rsidRDefault="00EE191D" w:rsidP="00FA6605">
      <w:pPr>
        <w:pStyle w:val="Caption"/>
      </w:pPr>
      <w:r>
        <w:t xml:space="preserve">Tab. </w:t>
      </w:r>
      <w:r>
        <w:fldChar w:fldCharType="begin"/>
      </w:r>
      <w:r>
        <w:instrText xml:space="preserve"> SEQ Tab. \* ARABIC </w:instrText>
      </w:r>
      <w:r>
        <w:fldChar w:fldCharType="separate"/>
      </w:r>
      <w:r w:rsidR="00A86720">
        <w:rPr>
          <w:noProof/>
        </w:rPr>
        <w:t>32</w:t>
      </w:r>
      <w:r>
        <w:fldChar w:fldCharType="end"/>
      </w:r>
      <w:r>
        <w:t xml:space="preserve"> - Príjmy s projektom, variant </w:t>
      </w:r>
      <w:r w:rsidR="00813B6E">
        <w:t>1</w:t>
      </w:r>
    </w:p>
    <w:tbl>
      <w:tblPr>
        <w:tblW w:w="92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52"/>
        <w:gridCol w:w="1200"/>
        <w:gridCol w:w="1210"/>
        <w:gridCol w:w="1060"/>
        <w:gridCol w:w="1060"/>
        <w:gridCol w:w="1060"/>
        <w:gridCol w:w="1060"/>
      </w:tblGrid>
      <w:tr w:rsidR="00EE191D" w:rsidRPr="00EE191D" w14:paraId="0709367D" w14:textId="77777777" w:rsidTr="00EE191D">
        <w:trPr>
          <w:trHeight w:val="225"/>
        </w:trPr>
        <w:tc>
          <w:tcPr>
            <w:tcW w:w="2552" w:type="dxa"/>
            <w:shd w:val="clear" w:color="auto" w:fill="BDD6EE" w:themeFill="accent1" w:themeFillTint="66"/>
            <w:noWrap/>
            <w:vAlign w:val="bottom"/>
            <w:hideMark/>
          </w:tcPr>
          <w:p w14:paraId="67A1E0BD" w14:textId="65188173" w:rsidR="00EE191D" w:rsidRPr="00EE191D" w:rsidRDefault="00EE191D" w:rsidP="00EE191D">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 4.2 Príjmy S PROJEKTOM</w:t>
            </w:r>
          </w:p>
        </w:tc>
        <w:tc>
          <w:tcPr>
            <w:tcW w:w="1200" w:type="dxa"/>
            <w:shd w:val="clear" w:color="auto" w:fill="BDD6EE" w:themeFill="accent1" w:themeFillTint="66"/>
            <w:noWrap/>
            <w:vAlign w:val="bottom"/>
            <w:hideMark/>
          </w:tcPr>
          <w:p w14:paraId="48379B69" w14:textId="77777777" w:rsidR="00EE191D" w:rsidRPr="00EE191D" w:rsidRDefault="00EE191D" w:rsidP="00EE191D">
            <w:pPr>
              <w:spacing w:before="0" w:after="0" w:line="240" w:lineRule="auto"/>
              <w:jc w:val="center"/>
              <w:rPr>
                <w:rFonts w:asciiTheme="minorHAnsi" w:hAnsiTheme="minorHAnsi" w:cs="Arial"/>
                <w:bCs/>
                <w:sz w:val="18"/>
                <w:szCs w:val="18"/>
              </w:rPr>
            </w:pPr>
            <w:r w:rsidRPr="00EE191D">
              <w:rPr>
                <w:rFonts w:asciiTheme="minorHAnsi" w:hAnsiTheme="minorHAnsi" w:cs="Arial"/>
                <w:bCs/>
                <w:sz w:val="18"/>
                <w:szCs w:val="18"/>
              </w:rPr>
              <w:t>Celkom</w:t>
            </w:r>
          </w:p>
        </w:tc>
        <w:tc>
          <w:tcPr>
            <w:tcW w:w="1210" w:type="dxa"/>
            <w:shd w:val="clear" w:color="auto" w:fill="BDD6EE" w:themeFill="accent1" w:themeFillTint="66"/>
            <w:noWrap/>
            <w:vAlign w:val="bottom"/>
            <w:hideMark/>
          </w:tcPr>
          <w:p w14:paraId="1851E270"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2022</w:t>
            </w:r>
          </w:p>
        </w:tc>
        <w:tc>
          <w:tcPr>
            <w:tcW w:w="1060" w:type="dxa"/>
            <w:shd w:val="clear" w:color="auto" w:fill="BDD6EE" w:themeFill="accent1" w:themeFillTint="66"/>
            <w:noWrap/>
            <w:vAlign w:val="bottom"/>
            <w:hideMark/>
          </w:tcPr>
          <w:p w14:paraId="1868AD9E"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2023</w:t>
            </w:r>
          </w:p>
        </w:tc>
        <w:tc>
          <w:tcPr>
            <w:tcW w:w="1060" w:type="dxa"/>
            <w:shd w:val="clear" w:color="auto" w:fill="BDD6EE" w:themeFill="accent1" w:themeFillTint="66"/>
            <w:noWrap/>
            <w:vAlign w:val="bottom"/>
            <w:hideMark/>
          </w:tcPr>
          <w:p w14:paraId="02D95274"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2024</w:t>
            </w:r>
          </w:p>
        </w:tc>
        <w:tc>
          <w:tcPr>
            <w:tcW w:w="1060" w:type="dxa"/>
            <w:shd w:val="clear" w:color="auto" w:fill="BDD6EE" w:themeFill="accent1" w:themeFillTint="66"/>
            <w:noWrap/>
            <w:vAlign w:val="bottom"/>
            <w:hideMark/>
          </w:tcPr>
          <w:p w14:paraId="663CEDA0"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2025</w:t>
            </w:r>
          </w:p>
        </w:tc>
        <w:tc>
          <w:tcPr>
            <w:tcW w:w="1060" w:type="dxa"/>
            <w:shd w:val="clear" w:color="auto" w:fill="BDD6EE" w:themeFill="accent1" w:themeFillTint="66"/>
            <w:noWrap/>
            <w:vAlign w:val="bottom"/>
            <w:hideMark/>
          </w:tcPr>
          <w:p w14:paraId="4A7509E3"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2026</w:t>
            </w:r>
          </w:p>
        </w:tc>
      </w:tr>
      <w:tr w:rsidR="00EE191D" w:rsidRPr="00EE191D" w14:paraId="259794BA" w14:textId="77777777" w:rsidTr="00EE191D">
        <w:trPr>
          <w:trHeight w:val="225"/>
        </w:trPr>
        <w:tc>
          <w:tcPr>
            <w:tcW w:w="2552" w:type="dxa"/>
            <w:shd w:val="clear" w:color="auto" w:fill="auto"/>
            <w:noWrap/>
            <w:vAlign w:val="bottom"/>
            <w:hideMark/>
          </w:tcPr>
          <w:p w14:paraId="077C17E7" w14:textId="77777777" w:rsidR="00EE191D" w:rsidRPr="00EE191D" w:rsidRDefault="00EE191D" w:rsidP="00EE191D">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Príjmy z mýta</w:t>
            </w:r>
          </w:p>
        </w:tc>
        <w:tc>
          <w:tcPr>
            <w:tcW w:w="1200" w:type="dxa"/>
            <w:shd w:val="clear" w:color="auto" w:fill="auto"/>
            <w:noWrap/>
            <w:vAlign w:val="bottom"/>
            <w:hideMark/>
          </w:tcPr>
          <w:p w14:paraId="3EADBF20"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1 234 764 335</w:t>
            </w:r>
          </w:p>
        </w:tc>
        <w:tc>
          <w:tcPr>
            <w:tcW w:w="1210" w:type="dxa"/>
            <w:shd w:val="clear" w:color="auto" w:fill="auto"/>
            <w:noWrap/>
            <w:vAlign w:val="bottom"/>
            <w:hideMark/>
          </w:tcPr>
          <w:p w14:paraId="2A8A1009"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233 655 755</w:t>
            </w:r>
          </w:p>
        </w:tc>
        <w:tc>
          <w:tcPr>
            <w:tcW w:w="1060" w:type="dxa"/>
            <w:shd w:val="clear" w:color="auto" w:fill="auto"/>
            <w:noWrap/>
            <w:vAlign w:val="bottom"/>
            <w:hideMark/>
          </w:tcPr>
          <w:p w14:paraId="0D95E1D8"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245 504 057</w:t>
            </w:r>
          </w:p>
        </w:tc>
        <w:tc>
          <w:tcPr>
            <w:tcW w:w="1060" w:type="dxa"/>
            <w:shd w:val="clear" w:color="auto" w:fill="auto"/>
            <w:noWrap/>
            <w:vAlign w:val="bottom"/>
            <w:hideMark/>
          </w:tcPr>
          <w:p w14:paraId="4A05D444"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248 712 141</w:t>
            </w:r>
          </w:p>
        </w:tc>
        <w:tc>
          <w:tcPr>
            <w:tcW w:w="1060" w:type="dxa"/>
            <w:shd w:val="clear" w:color="auto" w:fill="auto"/>
            <w:noWrap/>
            <w:vAlign w:val="bottom"/>
            <w:hideMark/>
          </w:tcPr>
          <w:p w14:paraId="5CAD0267"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251 653 366</w:t>
            </w:r>
          </w:p>
        </w:tc>
        <w:tc>
          <w:tcPr>
            <w:tcW w:w="1060" w:type="dxa"/>
            <w:shd w:val="clear" w:color="auto" w:fill="auto"/>
            <w:noWrap/>
            <w:vAlign w:val="bottom"/>
            <w:hideMark/>
          </w:tcPr>
          <w:p w14:paraId="7442111E"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255 239 016</w:t>
            </w:r>
          </w:p>
        </w:tc>
      </w:tr>
      <w:tr w:rsidR="00FA6605" w:rsidRPr="00EE191D" w14:paraId="208B4C98" w14:textId="77777777" w:rsidTr="00EE191D">
        <w:trPr>
          <w:trHeight w:val="225"/>
        </w:trPr>
        <w:tc>
          <w:tcPr>
            <w:tcW w:w="2552" w:type="dxa"/>
            <w:shd w:val="clear" w:color="auto" w:fill="auto"/>
            <w:noWrap/>
            <w:vAlign w:val="bottom"/>
            <w:hideMark/>
          </w:tcPr>
          <w:p w14:paraId="43315B8B" w14:textId="77777777" w:rsidR="00FA6605" w:rsidRPr="00EE191D" w:rsidRDefault="00FA6605" w:rsidP="00FA6605">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lastRenderedPageBreak/>
              <w:t>Iné príjmy</w:t>
            </w:r>
          </w:p>
        </w:tc>
        <w:tc>
          <w:tcPr>
            <w:tcW w:w="1200" w:type="dxa"/>
            <w:shd w:val="clear" w:color="auto" w:fill="auto"/>
            <w:noWrap/>
            <w:vAlign w:val="bottom"/>
            <w:hideMark/>
          </w:tcPr>
          <w:p w14:paraId="5791B145" w14:textId="35459BCE" w:rsidR="00FA6605" w:rsidRPr="00EE191D" w:rsidRDefault="00FA6605" w:rsidP="00FA6605">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0B4A92BD" w14:textId="53E9E3F5" w:rsidR="00FA6605" w:rsidRPr="00EE191D" w:rsidRDefault="00FA6605" w:rsidP="00FA6605">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46EC1B00" w14:textId="45E802B3" w:rsidR="00FA6605" w:rsidRPr="00EE191D" w:rsidRDefault="00FA6605" w:rsidP="00FA6605">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6AD4ADA2" w14:textId="04F45925" w:rsidR="00FA6605" w:rsidRPr="00EE191D" w:rsidRDefault="00FA6605" w:rsidP="00FA6605">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7C16097F" w14:textId="58371D29" w:rsidR="00FA6605" w:rsidRPr="00EE191D" w:rsidRDefault="00FA6605" w:rsidP="00FA6605">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747751D5" w14:textId="5B3274CB" w:rsidR="00FA6605" w:rsidRPr="00EE191D" w:rsidRDefault="00FA6605" w:rsidP="00FA6605">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EE191D" w:rsidRPr="00EE191D" w14:paraId="4E7EA94B" w14:textId="77777777" w:rsidTr="00EE191D">
        <w:trPr>
          <w:trHeight w:val="225"/>
        </w:trPr>
        <w:tc>
          <w:tcPr>
            <w:tcW w:w="2552" w:type="dxa"/>
            <w:shd w:val="clear" w:color="auto" w:fill="BDD6EE" w:themeFill="accent1" w:themeFillTint="66"/>
            <w:noWrap/>
            <w:vAlign w:val="bottom"/>
            <w:hideMark/>
          </w:tcPr>
          <w:p w14:paraId="1B063292" w14:textId="77777777" w:rsidR="00EE191D" w:rsidRPr="00EE191D" w:rsidRDefault="00EE191D" w:rsidP="00EE191D">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Celkové príjmy</w:t>
            </w:r>
          </w:p>
        </w:tc>
        <w:tc>
          <w:tcPr>
            <w:tcW w:w="1200" w:type="dxa"/>
            <w:shd w:val="clear" w:color="auto" w:fill="BDD6EE" w:themeFill="accent1" w:themeFillTint="66"/>
            <w:noWrap/>
            <w:vAlign w:val="bottom"/>
            <w:hideMark/>
          </w:tcPr>
          <w:p w14:paraId="57CECC3A"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1 234 764 335</w:t>
            </w:r>
          </w:p>
        </w:tc>
        <w:tc>
          <w:tcPr>
            <w:tcW w:w="1210" w:type="dxa"/>
            <w:shd w:val="clear" w:color="auto" w:fill="BDD6EE" w:themeFill="accent1" w:themeFillTint="66"/>
            <w:noWrap/>
            <w:vAlign w:val="bottom"/>
            <w:hideMark/>
          </w:tcPr>
          <w:p w14:paraId="337DA7F6"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233 655 755</w:t>
            </w:r>
          </w:p>
        </w:tc>
        <w:tc>
          <w:tcPr>
            <w:tcW w:w="1060" w:type="dxa"/>
            <w:shd w:val="clear" w:color="auto" w:fill="BDD6EE" w:themeFill="accent1" w:themeFillTint="66"/>
            <w:noWrap/>
            <w:vAlign w:val="bottom"/>
            <w:hideMark/>
          </w:tcPr>
          <w:p w14:paraId="76A14881"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245 504 057</w:t>
            </w:r>
          </w:p>
        </w:tc>
        <w:tc>
          <w:tcPr>
            <w:tcW w:w="1060" w:type="dxa"/>
            <w:shd w:val="clear" w:color="auto" w:fill="BDD6EE" w:themeFill="accent1" w:themeFillTint="66"/>
            <w:noWrap/>
            <w:vAlign w:val="bottom"/>
            <w:hideMark/>
          </w:tcPr>
          <w:p w14:paraId="24676949"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248 712 141</w:t>
            </w:r>
          </w:p>
        </w:tc>
        <w:tc>
          <w:tcPr>
            <w:tcW w:w="1060" w:type="dxa"/>
            <w:shd w:val="clear" w:color="auto" w:fill="BDD6EE" w:themeFill="accent1" w:themeFillTint="66"/>
            <w:noWrap/>
            <w:vAlign w:val="bottom"/>
            <w:hideMark/>
          </w:tcPr>
          <w:p w14:paraId="2E3EE911"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251 653 366</w:t>
            </w:r>
          </w:p>
        </w:tc>
        <w:tc>
          <w:tcPr>
            <w:tcW w:w="1060" w:type="dxa"/>
            <w:shd w:val="clear" w:color="auto" w:fill="BDD6EE" w:themeFill="accent1" w:themeFillTint="66"/>
            <w:noWrap/>
            <w:vAlign w:val="bottom"/>
            <w:hideMark/>
          </w:tcPr>
          <w:p w14:paraId="3E7FF8F5"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255 239 016</w:t>
            </w:r>
          </w:p>
        </w:tc>
      </w:tr>
    </w:tbl>
    <w:p w14:paraId="1FE64BE4" w14:textId="2A61543D" w:rsidR="00EE191D" w:rsidRDefault="00DA4343">
      <w:pPr>
        <w:rPr>
          <w:i/>
          <w:sz w:val="16"/>
        </w:rPr>
      </w:pPr>
      <w:r w:rsidRPr="00DA4343">
        <w:rPr>
          <w:i/>
          <w:sz w:val="16"/>
        </w:rPr>
        <w:t xml:space="preserve">Zdroj: Príloha 1, hárok </w:t>
      </w:r>
      <w:r>
        <w:rPr>
          <w:i/>
          <w:sz w:val="16"/>
        </w:rPr>
        <w:t>04</w:t>
      </w:r>
    </w:p>
    <w:p w14:paraId="72E96B4B" w14:textId="77777777" w:rsidR="00DA4343" w:rsidRDefault="00DA4343"/>
    <w:p w14:paraId="3E8237D7" w14:textId="374E66ED" w:rsidR="00EE191D" w:rsidRPr="00FA6605" w:rsidRDefault="00EE191D" w:rsidP="00FA6605">
      <w:pPr>
        <w:pStyle w:val="Caption"/>
      </w:pPr>
      <w:r w:rsidRPr="00FA6605">
        <w:t xml:space="preserve">Tab. </w:t>
      </w:r>
      <w:r w:rsidRPr="00FA6605">
        <w:fldChar w:fldCharType="begin"/>
      </w:r>
      <w:r w:rsidRPr="00FA6605">
        <w:instrText xml:space="preserve"> SEQ Tab. \* ARABIC </w:instrText>
      </w:r>
      <w:r w:rsidRPr="00FA6605">
        <w:fldChar w:fldCharType="separate"/>
      </w:r>
      <w:r w:rsidR="00A86720">
        <w:rPr>
          <w:noProof/>
        </w:rPr>
        <w:t>33</w:t>
      </w:r>
      <w:r w:rsidRPr="00FA6605">
        <w:fldChar w:fldCharType="end"/>
      </w:r>
      <w:r w:rsidRPr="00FA6605">
        <w:t xml:space="preserve"> - Inkrementálne príjmy</w:t>
      </w:r>
    </w:p>
    <w:tbl>
      <w:tblPr>
        <w:tblW w:w="92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52"/>
        <w:gridCol w:w="1200"/>
        <w:gridCol w:w="1210"/>
        <w:gridCol w:w="1060"/>
        <w:gridCol w:w="1060"/>
        <w:gridCol w:w="1060"/>
        <w:gridCol w:w="1060"/>
      </w:tblGrid>
      <w:tr w:rsidR="00EE191D" w:rsidRPr="00EE191D" w14:paraId="3C8B6A8E" w14:textId="77777777" w:rsidTr="00EE191D">
        <w:trPr>
          <w:trHeight w:val="225"/>
        </w:trPr>
        <w:tc>
          <w:tcPr>
            <w:tcW w:w="2552" w:type="dxa"/>
            <w:shd w:val="clear" w:color="auto" w:fill="BDD6EE" w:themeFill="accent1" w:themeFillTint="66"/>
            <w:noWrap/>
            <w:vAlign w:val="bottom"/>
            <w:hideMark/>
          </w:tcPr>
          <w:p w14:paraId="441BC5E8" w14:textId="246A93A2" w:rsidR="00EE191D" w:rsidRPr="00EE191D" w:rsidRDefault="00EE191D" w:rsidP="00EE191D">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 4.3 INKREMENTÁLNE príjmy</w:t>
            </w:r>
          </w:p>
        </w:tc>
        <w:tc>
          <w:tcPr>
            <w:tcW w:w="1200" w:type="dxa"/>
            <w:shd w:val="clear" w:color="auto" w:fill="BDD6EE" w:themeFill="accent1" w:themeFillTint="66"/>
            <w:noWrap/>
            <w:vAlign w:val="bottom"/>
            <w:hideMark/>
          </w:tcPr>
          <w:p w14:paraId="7884314A" w14:textId="77777777" w:rsidR="00EE191D" w:rsidRPr="00EE191D" w:rsidRDefault="00EE191D" w:rsidP="00EE191D">
            <w:pPr>
              <w:spacing w:before="0" w:after="0" w:line="240" w:lineRule="auto"/>
              <w:jc w:val="center"/>
              <w:rPr>
                <w:rFonts w:asciiTheme="minorHAnsi" w:hAnsiTheme="minorHAnsi" w:cs="Arial"/>
                <w:bCs/>
                <w:sz w:val="18"/>
                <w:szCs w:val="18"/>
              </w:rPr>
            </w:pPr>
            <w:r w:rsidRPr="00EE191D">
              <w:rPr>
                <w:rFonts w:asciiTheme="minorHAnsi" w:hAnsiTheme="minorHAnsi" w:cs="Arial"/>
                <w:bCs/>
                <w:sz w:val="18"/>
                <w:szCs w:val="18"/>
              </w:rPr>
              <w:t>Celkom</w:t>
            </w:r>
          </w:p>
        </w:tc>
        <w:tc>
          <w:tcPr>
            <w:tcW w:w="1210" w:type="dxa"/>
            <w:shd w:val="clear" w:color="auto" w:fill="BDD6EE" w:themeFill="accent1" w:themeFillTint="66"/>
            <w:noWrap/>
            <w:vAlign w:val="bottom"/>
            <w:hideMark/>
          </w:tcPr>
          <w:p w14:paraId="0263E630"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2022</w:t>
            </w:r>
          </w:p>
        </w:tc>
        <w:tc>
          <w:tcPr>
            <w:tcW w:w="1060" w:type="dxa"/>
            <w:shd w:val="clear" w:color="auto" w:fill="BDD6EE" w:themeFill="accent1" w:themeFillTint="66"/>
            <w:noWrap/>
            <w:vAlign w:val="bottom"/>
            <w:hideMark/>
          </w:tcPr>
          <w:p w14:paraId="4D826E1E"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2023</w:t>
            </w:r>
          </w:p>
        </w:tc>
        <w:tc>
          <w:tcPr>
            <w:tcW w:w="1060" w:type="dxa"/>
            <w:shd w:val="clear" w:color="auto" w:fill="BDD6EE" w:themeFill="accent1" w:themeFillTint="66"/>
            <w:noWrap/>
            <w:vAlign w:val="bottom"/>
            <w:hideMark/>
          </w:tcPr>
          <w:p w14:paraId="1FC754F6"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2024</w:t>
            </w:r>
          </w:p>
        </w:tc>
        <w:tc>
          <w:tcPr>
            <w:tcW w:w="1060" w:type="dxa"/>
            <w:shd w:val="clear" w:color="auto" w:fill="BDD6EE" w:themeFill="accent1" w:themeFillTint="66"/>
            <w:noWrap/>
            <w:vAlign w:val="bottom"/>
            <w:hideMark/>
          </w:tcPr>
          <w:p w14:paraId="3D13269A"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2025</w:t>
            </w:r>
          </w:p>
        </w:tc>
        <w:tc>
          <w:tcPr>
            <w:tcW w:w="1060" w:type="dxa"/>
            <w:shd w:val="clear" w:color="auto" w:fill="BDD6EE" w:themeFill="accent1" w:themeFillTint="66"/>
            <w:noWrap/>
            <w:vAlign w:val="bottom"/>
            <w:hideMark/>
          </w:tcPr>
          <w:p w14:paraId="22BCB57E" w14:textId="77777777" w:rsidR="00EE191D" w:rsidRPr="00EE191D" w:rsidRDefault="00EE191D" w:rsidP="00EE191D">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2026</w:t>
            </w:r>
          </w:p>
        </w:tc>
      </w:tr>
      <w:tr w:rsidR="00EE191D" w:rsidRPr="00EE191D" w14:paraId="1FA1E64B" w14:textId="77777777" w:rsidTr="00EE191D">
        <w:trPr>
          <w:trHeight w:val="225"/>
        </w:trPr>
        <w:tc>
          <w:tcPr>
            <w:tcW w:w="2552" w:type="dxa"/>
            <w:shd w:val="clear" w:color="auto" w:fill="auto"/>
            <w:noWrap/>
            <w:vAlign w:val="bottom"/>
            <w:hideMark/>
          </w:tcPr>
          <w:p w14:paraId="4B83A3E0" w14:textId="77777777" w:rsidR="00EE191D" w:rsidRPr="00EE191D" w:rsidRDefault="00EE191D" w:rsidP="00EE191D">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Príjmy z mýta</w:t>
            </w:r>
          </w:p>
        </w:tc>
        <w:tc>
          <w:tcPr>
            <w:tcW w:w="1200" w:type="dxa"/>
            <w:shd w:val="clear" w:color="auto" w:fill="auto"/>
            <w:noWrap/>
            <w:vAlign w:val="bottom"/>
            <w:hideMark/>
          </w:tcPr>
          <w:p w14:paraId="14329D7F"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74D0D1CC"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0A0D75F3"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4172A20D"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65BF9E18"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0320E29A"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EE191D" w:rsidRPr="00EE191D" w14:paraId="25117D20" w14:textId="77777777" w:rsidTr="00EE191D">
        <w:trPr>
          <w:trHeight w:val="225"/>
        </w:trPr>
        <w:tc>
          <w:tcPr>
            <w:tcW w:w="2552" w:type="dxa"/>
            <w:shd w:val="clear" w:color="auto" w:fill="auto"/>
            <w:noWrap/>
            <w:vAlign w:val="bottom"/>
            <w:hideMark/>
          </w:tcPr>
          <w:p w14:paraId="210C9581" w14:textId="77777777" w:rsidR="00EE191D" w:rsidRPr="00EE191D" w:rsidRDefault="00EE191D" w:rsidP="00EE191D">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Iné príjmy</w:t>
            </w:r>
          </w:p>
        </w:tc>
        <w:tc>
          <w:tcPr>
            <w:tcW w:w="1200" w:type="dxa"/>
            <w:shd w:val="clear" w:color="auto" w:fill="auto"/>
            <w:noWrap/>
            <w:vAlign w:val="bottom"/>
            <w:hideMark/>
          </w:tcPr>
          <w:p w14:paraId="7AD04090"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2249D830"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05F7774B"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01A82129"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2A0CDC1E"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4A65238C" w14:textId="77777777" w:rsidR="00EE191D" w:rsidRPr="00EE191D" w:rsidRDefault="00EE191D" w:rsidP="00EE191D">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EE191D" w:rsidRPr="00EE191D" w14:paraId="2D23C6A8" w14:textId="77777777" w:rsidTr="00EE191D">
        <w:trPr>
          <w:trHeight w:val="225"/>
        </w:trPr>
        <w:tc>
          <w:tcPr>
            <w:tcW w:w="2552" w:type="dxa"/>
            <w:shd w:val="clear" w:color="auto" w:fill="BDD6EE" w:themeFill="accent1" w:themeFillTint="66"/>
            <w:noWrap/>
            <w:vAlign w:val="bottom"/>
            <w:hideMark/>
          </w:tcPr>
          <w:p w14:paraId="2AFA0CE4" w14:textId="77777777" w:rsidR="00EE191D" w:rsidRPr="00EE191D" w:rsidRDefault="00EE191D" w:rsidP="00EE191D">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Celkové príjmy</w:t>
            </w:r>
          </w:p>
        </w:tc>
        <w:tc>
          <w:tcPr>
            <w:tcW w:w="1200" w:type="dxa"/>
            <w:shd w:val="clear" w:color="auto" w:fill="BDD6EE" w:themeFill="accent1" w:themeFillTint="66"/>
            <w:noWrap/>
            <w:vAlign w:val="bottom"/>
            <w:hideMark/>
          </w:tcPr>
          <w:p w14:paraId="55CD5F9E"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210" w:type="dxa"/>
            <w:shd w:val="clear" w:color="auto" w:fill="BDD6EE" w:themeFill="accent1" w:themeFillTint="66"/>
            <w:noWrap/>
            <w:vAlign w:val="bottom"/>
            <w:hideMark/>
          </w:tcPr>
          <w:p w14:paraId="42DA139B"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432EE7AB"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797A5419"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64F94023"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491E5EB3" w14:textId="77777777" w:rsidR="00EE191D" w:rsidRPr="00EE191D" w:rsidRDefault="00EE191D" w:rsidP="00EE191D">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r>
    </w:tbl>
    <w:p w14:paraId="2265B7F4" w14:textId="3472B3D4" w:rsidR="00EE191D" w:rsidRDefault="00DA4343" w:rsidP="004B5DE9">
      <w:pPr>
        <w:rPr>
          <w:i/>
          <w:sz w:val="16"/>
        </w:rPr>
      </w:pPr>
      <w:r w:rsidRPr="00DA4343">
        <w:rPr>
          <w:i/>
          <w:sz w:val="16"/>
        </w:rPr>
        <w:t xml:space="preserve">Zdroj: Príloha 1, hárok </w:t>
      </w:r>
      <w:r>
        <w:rPr>
          <w:i/>
          <w:sz w:val="16"/>
        </w:rPr>
        <w:t>04</w:t>
      </w:r>
    </w:p>
    <w:p w14:paraId="39C465D7" w14:textId="32378F3F" w:rsidR="00FA6605" w:rsidRDefault="00FA6605" w:rsidP="004B5DE9">
      <w:r>
        <w:t>Dopad zavedenia projektu na celkové príjmy je nulový, inkrementálne príjmy sú nulové.</w:t>
      </w:r>
    </w:p>
    <w:p w14:paraId="6EB5F23B" w14:textId="74C405CB" w:rsidR="00BA7D42" w:rsidRDefault="00BA7D42" w:rsidP="00BA7D42"/>
    <w:p w14:paraId="1F1F293F" w14:textId="6378B0AA" w:rsidR="003027A0" w:rsidRDefault="003027A0" w:rsidP="00A40297">
      <w:pPr>
        <w:pStyle w:val="Heading3"/>
      </w:pPr>
      <w:bookmarkStart w:id="145" w:name="_Ref72310400"/>
      <w:bookmarkStart w:id="146" w:name="_Toc87348748"/>
      <w:r>
        <w:t>Financovanie</w:t>
      </w:r>
      <w:bookmarkEnd w:id="145"/>
      <w:bookmarkEnd w:id="146"/>
    </w:p>
    <w:p w14:paraId="281E5B80" w14:textId="48118199" w:rsidR="003027A0" w:rsidRDefault="003027A0" w:rsidP="003027A0">
      <w:r>
        <w:t xml:space="preserve">Financovanie Komplexnej služby elektronického výberu mýta ako celku je zabezpečené z výberu mýta, investičné a prevádzkové náklady spojené s rozšírením </w:t>
      </w:r>
      <w:r w:rsidR="00A4423F">
        <w:t xml:space="preserve">čiastkových služieb SkyToll o implementáciu EETS budú </w:t>
      </w:r>
      <w:r w:rsidR="00813B6E">
        <w:t xml:space="preserve">rovnako </w:t>
      </w:r>
      <w:r w:rsidR="00A4423F">
        <w:t xml:space="preserve">pokryté </w:t>
      </w:r>
      <w:r w:rsidR="00813B6E">
        <w:t>z výberu mýta</w:t>
      </w:r>
      <w:r w:rsidR="00A4423F">
        <w:t>.</w:t>
      </w:r>
    </w:p>
    <w:p w14:paraId="2F7910E7" w14:textId="2CC6C63D" w:rsidR="00A17F90" w:rsidRPr="009F7CDF" w:rsidRDefault="00A17F90" w:rsidP="00A40297">
      <w:pPr>
        <w:spacing w:before="0" w:after="0" w:line="240" w:lineRule="auto"/>
        <w:jc w:val="left"/>
        <w:rPr>
          <w:i/>
          <w:color w:val="44546A" w:themeColor="text2"/>
          <w:sz w:val="18"/>
        </w:rPr>
      </w:pPr>
      <w:r w:rsidRPr="009F7CDF">
        <w:rPr>
          <w:i/>
          <w:color w:val="44546A" w:themeColor="text2"/>
          <w:sz w:val="18"/>
        </w:rPr>
        <w:t xml:space="preserve">Tab. </w:t>
      </w:r>
      <w:r w:rsidRPr="009F7CDF">
        <w:rPr>
          <w:i/>
          <w:color w:val="44546A" w:themeColor="text2"/>
          <w:sz w:val="18"/>
        </w:rPr>
        <w:fldChar w:fldCharType="begin"/>
      </w:r>
      <w:r w:rsidRPr="009F7CDF">
        <w:rPr>
          <w:i/>
          <w:color w:val="44546A" w:themeColor="text2"/>
          <w:sz w:val="18"/>
        </w:rPr>
        <w:instrText xml:space="preserve"> SEQ Tab. \* ARABIC </w:instrText>
      </w:r>
      <w:r w:rsidRPr="009F7CDF">
        <w:rPr>
          <w:i/>
          <w:color w:val="44546A" w:themeColor="text2"/>
          <w:sz w:val="18"/>
        </w:rPr>
        <w:fldChar w:fldCharType="separate"/>
      </w:r>
      <w:r w:rsidR="00A86720">
        <w:rPr>
          <w:i/>
          <w:noProof/>
          <w:color w:val="44546A" w:themeColor="text2"/>
          <w:sz w:val="18"/>
        </w:rPr>
        <w:t>34</w:t>
      </w:r>
      <w:r w:rsidRPr="009F7CDF">
        <w:rPr>
          <w:i/>
          <w:color w:val="44546A" w:themeColor="text2"/>
          <w:sz w:val="18"/>
        </w:rPr>
        <w:fldChar w:fldCharType="end"/>
      </w:r>
      <w:r w:rsidRPr="009F7CDF">
        <w:rPr>
          <w:i/>
          <w:color w:val="44546A" w:themeColor="text2"/>
          <w:sz w:val="18"/>
        </w:rPr>
        <w:t xml:space="preserve"> - Výpočet finančnej medzery</w:t>
      </w:r>
    </w:p>
    <w:tbl>
      <w:tblPr>
        <w:tblW w:w="911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6237"/>
        <w:gridCol w:w="1440"/>
        <w:gridCol w:w="1440"/>
      </w:tblGrid>
      <w:tr w:rsidR="00A17F90" w:rsidRPr="00A17F90" w14:paraId="5F0F9A1E" w14:textId="77777777" w:rsidTr="00A40297">
        <w:trPr>
          <w:trHeight w:val="225"/>
        </w:trPr>
        <w:tc>
          <w:tcPr>
            <w:tcW w:w="6237" w:type="dxa"/>
            <w:shd w:val="clear" w:color="auto" w:fill="BDD6EE" w:themeFill="accent1" w:themeFillTint="66"/>
            <w:noWrap/>
            <w:vAlign w:val="center"/>
            <w:hideMark/>
          </w:tcPr>
          <w:p w14:paraId="0A218204" w14:textId="315D2F07" w:rsidR="00A17F90" w:rsidRPr="00A17F90" w:rsidRDefault="00A17F90" w:rsidP="00813B6E">
            <w:pPr>
              <w:spacing w:before="0" w:after="0" w:line="240" w:lineRule="auto"/>
              <w:jc w:val="left"/>
              <w:rPr>
                <w:rFonts w:cs="Arial"/>
                <w:b/>
                <w:bCs/>
                <w:sz w:val="16"/>
                <w:szCs w:val="16"/>
              </w:rPr>
            </w:pPr>
            <w:r w:rsidRPr="00A17F90">
              <w:rPr>
                <w:rFonts w:cs="Arial"/>
                <w:b/>
                <w:bCs/>
                <w:sz w:val="16"/>
                <w:szCs w:val="16"/>
              </w:rPr>
              <w:t>5.1 Výpočet finančnej medzery</w:t>
            </w:r>
            <w:r w:rsidR="00B16824">
              <w:rPr>
                <w:rFonts w:cs="Arial"/>
                <w:b/>
                <w:bCs/>
                <w:sz w:val="16"/>
                <w:szCs w:val="16"/>
              </w:rPr>
              <w:t xml:space="preserve"> [Eur]</w:t>
            </w:r>
          </w:p>
        </w:tc>
        <w:tc>
          <w:tcPr>
            <w:tcW w:w="1440" w:type="dxa"/>
            <w:shd w:val="clear" w:color="auto" w:fill="BDD6EE" w:themeFill="accent1" w:themeFillTint="66"/>
            <w:noWrap/>
            <w:vAlign w:val="center"/>
            <w:hideMark/>
          </w:tcPr>
          <w:p w14:paraId="42858D86" w14:textId="77777777" w:rsidR="00A17F90" w:rsidRPr="00A17F90" w:rsidRDefault="00A17F90" w:rsidP="00A40297">
            <w:pPr>
              <w:spacing w:before="0" w:after="0" w:line="240" w:lineRule="auto"/>
              <w:jc w:val="center"/>
              <w:rPr>
                <w:rFonts w:cs="Arial"/>
                <w:sz w:val="16"/>
                <w:szCs w:val="16"/>
              </w:rPr>
            </w:pPr>
            <w:r w:rsidRPr="00A17F90">
              <w:rPr>
                <w:rFonts w:cs="Arial"/>
                <w:sz w:val="16"/>
                <w:szCs w:val="16"/>
              </w:rPr>
              <w:t>Nediskontované</w:t>
            </w:r>
          </w:p>
        </w:tc>
        <w:tc>
          <w:tcPr>
            <w:tcW w:w="1440" w:type="dxa"/>
            <w:shd w:val="clear" w:color="auto" w:fill="BDD6EE" w:themeFill="accent1" w:themeFillTint="66"/>
            <w:noWrap/>
            <w:vAlign w:val="center"/>
            <w:hideMark/>
          </w:tcPr>
          <w:p w14:paraId="18931EC1" w14:textId="77777777" w:rsidR="00A17F90" w:rsidRPr="00A17F90" w:rsidRDefault="00A17F90" w:rsidP="00A40297">
            <w:pPr>
              <w:spacing w:before="0" w:after="0" w:line="240" w:lineRule="auto"/>
              <w:jc w:val="center"/>
              <w:rPr>
                <w:rFonts w:cs="Arial"/>
                <w:sz w:val="16"/>
                <w:szCs w:val="16"/>
              </w:rPr>
            </w:pPr>
            <w:r w:rsidRPr="00A17F90">
              <w:rPr>
                <w:rFonts w:cs="Arial"/>
                <w:sz w:val="16"/>
                <w:szCs w:val="16"/>
              </w:rPr>
              <w:t>Diskontované</w:t>
            </w:r>
          </w:p>
        </w:tc>
      </w:tr>
      <w:tr w:rsidR="000A4BF0" w:rsidRPr="00A17F90" w14:paraId="394982F4" w14:textId="77777777" w:rsidTr="00EF1CB7">
        <w:trPr>
          <w:trHeight w:val="225"/>
        </w:trPr>
        <w:tc>
          <w:tcPr>
            <w:tcW w:w="6237" w:type="dxa"/>
            <w:shd w:val="clear" w:color="auto" w:fill="DEEAF6" w:themeFill="accent1" w:themeFillTint="33"/>
            <w:noWrap/>
            <w:vAlign w:val="center"/>
            <w:hideMark/>
          </w:tcPr>
          <w:p w14:paraId="74986017"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Investičné náklady</w:t>
            </w:r>
          </w:p>
        </w:tc>
        <w:tc>
          <w:tcPr>
            <w:tcW w:w="1440" w:type="dxa"/>
            <w:shd w:val="clear" w:color="auto" w:fill="auto"/>
            <w:noWrap/>
            <w:vAlign w:val="center"/>
            <w:hideMark/>
          </w:tcPr>
          <w:p w14:paraId="14AB417A" w14:textId="4218A89F"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440" w:type="dxa"/>
            <w:shd w:val="clear" w:color="auto" w:fill="auto"/>
            <w:noWrap/>
            <w:vAlign w:val="center"/>
            <w:hideMark/>
          </w:tcPr>
          <w:p w14:paraId="08FBA730" w14:textId="4709A61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r>
      <w:tr w:rsidR="000A4BF0" w:rsidRPr="00A17F90" w14:paraId="65D867E6" w14:textId="77777777" w:rsidTr="00EF1CB7">
        <w:trPr>
          <w:trHeight w:val="225"/>
        </w:trPr>
        <w:tc>
          <w:tcPr>
            <w:tcW w:w="6237" w:type="dxa"/>
            <w:shd w:val="clear" w:color="auto" w:fill="DEEAF6" w:themeFill="accent1" w:themeFillTint="33"/>
            <w:noWrap/>
            <w:vAlign w:val="center"/>
            <w:hideMark/>
          </w:tcPr>
          <w:p w14:paraId="54318C0D"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Zostatková hodnota</w:t>
            </w:r>
          </w:p>
        </w:tc>
        <w:tc>
          <w:tcPr>
            <w:tcW w:w="1440" w:type="dxa"/>
            <w:shd w:val="clear" w:color="auto" w:fill="auto"/>
            <w:noWrap/>
            <w:vAlign w:val="center"/>
            <w:hideMark/>
          </w:tcPr>
          <w:p w14:paraId="0BD6BE85" w14:textId="5835A16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440" w:type="dxa"/>
            <w:shd w:val="clear" w:color="auto" w:fill="auto"/>
            <w:noWrap/>
            <w:vAlign w:val="center"/>
            <w:hideMark/>
          </w:tcPr>
          <w:p w14:paraId="4857A817" w14:textId="1C7D356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A17F90" w14:paraId="6E4E6B90" w14:textId="77777777" w:rsidTr="00EF1CB7">
        <w:trPr>
          <w:trHeight w:val="225"/>
        </w:trPr>
        <w:tc>
          <w:tcPr>
            <w:tcW w:w="6237" w:type="dxa"/>
            <w:shd w:val="clear" w:color="auto" w:fill="DEEAF6" w:themeFill="accent1" w:themeFillTint="33"/>
            <w:noWrap/>
            <w:vAlign w:val="center"/>
            <w:hideMark/>
          </w:tcPr>
          <w:p w14:paraId="3A16D1D3"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Príjmy</w:t>
            </w:r>
          </w:p>
        </w:tc>
        <w:tc>
          <w:tcPr>
            <w:tcW w:w="1440" w:type="dxa"/>
            <w:shd w:val="clear" w:color="auto" w:fill="auto"/>
            <w:noWrap/>
            <w:vAlign w:val="center"/>
            <w:hideMark/>
          </w:tcPr>
          <w:p w14:paraId="187C5B61" w14:textId="0A773DA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1 234 764 335</w:t>
            </w:r>
          </w:p>
        </w:tc>
        <w:tc>
          <w:tcPr>
            <w:tcW w:w="1440" w:type="dxa"/>
            <w:shd w:val="clear" w:color="auto" w:fill="auto"/>
            <w:noWrap/>
            <w:vAlign w:val="center"/>
            <w:hideMark/>
          </w:tcPr>
          <w:p w14:paraId="75CA55E7" w14:textId="1B84620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1 339 656 386</w:t>
            </w:r>
          </w:p>
        </w:tc>
      </w:tr>
      <w:tr w:rsidR="000A4BF0" w:rsidRPr="00A17F90" w14:paraId="51D306FE" w14:textId="77777777" w:rsidTr="00EF1CB7">
        <w:trPr>
          <w:trHeight w:val="225"/>
        </w:trPr>
        <w:tc>
          <w:tcPr>
            <w:tcW w:w="6237" w:type="dxa"/>
            <w:shd w:val="clear" w:color="auto" w:fill="DEEAF6" w:themeFill="accent1" w:themeFillTint="33"/>
            <w:noWrap/>
            <w:vAlign w:val="center"/>
            <w:hideMark/>
          </w:tcPr>
          <w:p w14:paraId="51815BD6"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Prevádzkové náklady</w:t>
            </w:r>
          </w:p>
        </w:tc>
        <w:tc>
          <w:tcPr>
            <w:tcW w:w="1440" w:type="dxa"/>
            <w:shd w:val="clear" w:color="auto" w:fill="auto"/>
            <w:noWrap/>
            <w:vAlign w:val="center"/>
            <w:hideMark/>
          </w:tcPr>
          <w:p w14:paraId="6AAD0991" w14:textId="40B212F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358 685 481</w:t>
            </w:r>
          </w:p>
        </w:tc>
        <w:tc>
          <w:tcPr>
            <w:tcW w:w="1440" w:type="dxa"/>
            <w:shd w:val="clear" w:color="auto" w:fill="auto"/>
            <w:noWrap/>
            <w:vAlign w:val="center"/>
            <w:hideMark/>
          </w:tcPr>
          <w:p w14:paraId="0B54DDF0" w14:textId="0A8D845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387 623 760</w:t>
            </w:r>
          </w:p>
        </w:tc>
      </w:tr>
      <w:tr w:rsidR="000A4BF0" w:rsidRPr="00A17F90" w14:paraId="35EFAFB0" w14:textId="77777777" w:rsidTr="00EF1CB7">
        <w:trPr>
          <w:trHeight w:val="225"/>
        </w:trPr>
        <w:tc>
          <w:tcPr>
            <w:tcW w:w="6237" w:type="dxa"/>
            <w:shd w:val="clear" w:color="auto" w:fill="DEEAF6" w:themeFill="accent1" w:themeFillTint="33"/>
            <w:noWrap/>
            <w:vAlign w:val="center"/>
            <w:hideMark/>
          </w:tcPr>
          <w:p w14:paraId="27C03111"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Čistý príjem</w:t>
            </w:r>
          </w:p>
        </w:tc>
        <w:tc>
          <w:tcPr>
            <w:tcW w:w="1440" w:type="dxa"/>
            <w:shd w:val="clear" w:color="auto" w:fill="auto"/>
            <w:noWrap/>
            <w:vAlign w:val="center"/>
            <w:hideMark/>
          </w:tcPr>
          <w:p w14:paraId="13271725" w14:textId="7219C5F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876 078 854</w:t>
            </w:r>
          </w:p>
        </w:tc>
        <w:tc>
          <w:tcPr>
            <w:tcW w:w="1440" w:type="dxa"/>
            <w:shd w:val="clear" w:color="auto" w:fill="auto"/>
            <w:noWrap/>
            <w:vAlign w:val="center"/>
            <w:hideMark/>
          </w:tcPr>
          <w:p w14:paraId="5DAFA23C" w14:textId="61CC1A20"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952 032 626</w:t>
            </w:r>
          </w:p>
        </w:tc>
      </w:tr>
      <w:tr w:rsidR="000A4BF0" w:rsidRPr="00A17F90" w14:paraId="3B070A2E" w14:textId="77777777" w:rsidTr="00EF1CB7">
        <w:trPr>
          <w:trHeight w:val="240"/>
        </w:trPr>
        <w:tc>
          <w:tcPr>
            <w:tcW w:w="6237" w:type="dxa"/>
            <w:shd w:val="clear" w:color="auto" w:fill="DEEAF6" w:themeFill="accent1" w:themeFillTint="33"/>
            <w:noWrap/>
            <w:vAlign w:val="center"/>
            <w:hideMark/>
          </w:tcPr>
          <w:p w14:paraId="4733CF40"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Investičné náklady - čistý príjem</w:t>
            </w:r>
          </w:p>
        </w:tc>
        <w:tc>
          <w:tcPr>
            <w:tcW w:w="1440" w:type="dxa"/>
            <w:shd w:val="clear" w:color="auto" w:fill="auto"/>
            <w:noWrap/>
            <w:vAlign w:val="center"/>
            <w:hideMark/>
          </w:tcPr>
          <w:p w14:paraId="29A29BB3" w14:textId="6E131A7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-872 666 375</w:t>
            </w:r>
          </w:p>
        </w:tc>
        <w:tc>
          <w:tcPr>
            <w:tcW w:w="1440" w:type="dxa"/>
            <w:shd w:val="clear" w:color="auto" w:fill="auto"/>
            <w:noWrap/>
            <w:vAlign w:val="center"/>
            <w:hideMark/>
          </w:tcPr>
          <w:p w14:paraId="5E3BE683" w14:textId="6DEAFCB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-948 620 146</w:t>
            </w:r>
          </w:p>
        </w:tc>
      </w:tr>
      <w:tr w:rsidR="00813B6E" w:rsidRPr="00A40297" w14:paraId="1CE6AD32" w14:textId="77777777" w:rsidTr="00A40297">
        <w:trPr>
          <w:trHeight w:val="240"/>
        </w:trPr>
        <w:tc>
          <w:tcPr>
            <w:tcW w:w="6237" w:type="dxa"/>
            <w:shd w:val="clear" w:color="auto" w:fill="BDD6EE" w:themeFill="accent1" w:themeFillTint="66"/>
            <w:noWrap/>
            <w:vAlign w:val="center"/>
            <w:hideMark/>
          </w:tcPr>
          <w:p w14:paraId="181E5158" w14:textId="77777777" w:rsidR="00813B6E" w:rsidRPr="00A40297" w:rsidRDefault="00813B6E" w:rsidP="00054ADE">
            <w:pPr>
              <w:spacing w:before="0" w:after="0" w:line="240" w:lineRule="auto"/>
              <w:jc w:val="left"/>
              <w:rPr>
                <w:rFonts w:cs="Arial"/>
                <w:b/>
                <w:sz w:val="16"/>
                <w:szCs w:val="16"/>
              </w:rPr>
            </w:pPr>
            <w:r w:rsidRPr="00A40297">
              <w:rPr>
                <w:rFonts w:cs="Arial"/>
                <w:b/>
                <w:sz w:val="16"/>
                <w:szCs w:val="16"/>
              </w:rPr>
              <w:t>Finančná medzera</w:t>
            </w:r>
          </w:p>
        </w:tc>
        <w:tc>
          <w:tcPr>
            <w:tcW w:w="1440" w:type="dxa"/>
            <w:shd w:val="clear" w:color="auto" w:fill="BDD6EE" w:themeFill="accent1" w:themeFillTint="66"/>
            <w:noWrap/>
            <w:vAlign w:val="center"/>
            <w:hideMark/>
          </w:tcPr>
          <w:p w14:paraId="5E234D25" w14:textId="52000BA1" w:rsidR="00813B6E" w:rsidRPr="00A40297" w:rsidRDefault="00813B6E" w:rsidP="00C81C52">
            <w:pPr>
              <w:spacing w:before="0" w:after="0" w:line="240" w:lineRule="auto"/>
              <w:jc w:val="right"/>
              <w:rPr>
                <w:rFonts w:cs="Arial"/>
                <w:b/>
                <w:sz w:val="16"/>
                <w:szCs w:val="16"/>
              </w:rPr>
            </w:pPr>
            <w:r w:rsidRPr="00A40297">
              <w:rPr>
                <w:rFonts w:ascii="Calibri" w:hAnsi="Calibri" w:cs="Calibri"/>
                <w:b/>
                <w:sz w:val="18"/>
                <w:szCs w:val="18"/>
              </w:rPr>
              <w:t>0</w:t>
            </w:r>
            <w:r w:rsidR="00054ADE">
              <w:rPr>
                <w:rFonts w:ascii="Calibri" w:hAnsi="Calibri" w:cs="Calibri"/>
                <w:b/>
                <w:sz w:val="18"/>
                <w:szCs w:val="18"/>
              </w:rPr>
              <w:t xml:space="preserve"> </w:t>
            </w:r>
            <w:r w:rsidRPr="00A40297">
              <w:rPr>
                <w:rFonts w:ascii="Calibri" w:hAnsi="Calibri" w:cs="Calibri"/>
                <w:b/>
                <w:sz w:val="18"/>
                <w:szCs w:val="18"/>
              </w:rPr>
              <w:t>%</w:t>
            </w:r>
          </w:p>
        </w:tc>
        <w:tc>
          <w:tcPr>
            <w:tcW w:w="1440" w:type="dxa"/>
            <w:shd w:val="clear" w:color="auto" w:fill="BDD6EE" w:themeFill="accent1" w:themeFillTint="66"/>
            <w:noWrap/>
            <w:vAlign w:val="center"/>
            <w:hideMark/>
          </w:tcPr>
          <w:p w14:paraId="0B537CC8" w14:textId="66CB0A69" w:rsidR="00813B6E" w:rsidRPr="00A40297" w:rsidRDefault="00813B6E" w:rsidP="00A40297">
            <w:pPr>
              <w:spacing w:before="0" w:after="0" w:line="240" w:lineRule="auto"/>
              <w:jc w:val="right"/>
              <w:rPr>
                <w:rFonts w:cs="Arial"/>
                <w:b/>
                <w:sz w:val="16"/>
                <w:szCs w:val="16"/>
              </w:rPr>
            </w:pPr>
            <w:r w:rsidRPr="00A40297">
              <w:rPr>
                <w:rFonts w:ascii="Calibri" w:hAnsi="Calibri" w:cs="Calibri"/>
                <w:b/>
                <w:sz w:val="18"/>
                <w:szCs w:val="18"/>
              </w:rPr>
              <w:t>0</w:t>
            </w:r>
            <w:r w:rsidR="00054ADE">
              <w:rPr>
                <w:rFonts w:ascii="Calibri" w:hAnsi="Calibri" w:cs="Calibri"/>
                <w:b/>
                <w:sz w:val="18"/>
                <w:szCs w:val="18"/>
              </w:rPr>
              <w:t xml:space="preserve"> </w:t>
            </w:r>
            <w:r w:rsidRPr="00A40297">
              <w:rPr>
                <w:rFonts w:ascii="Calibri" w:hAnsi="Calibri" w:cs="Calibri"/>
                <w:b/>
                <w:sz w:val="18"/>
                <w:szCs w:val="18"/>
              </w:rPr>
              <w:t>%</w:t>
            </w:r>
          </w:p>
        </w:tc>
      </w:tr>
    </w:tbl>
    <w:p w14:paraId="309264CB" w14:textId="22C759CE" w:rsidR="00A4423F" w:rsidRDefault="00DA4343" w:rsidP="003027A0">
      <w:r w:rsidRPr="00DA4343">
        <w:rPr>
          <w:i/>
          <w:sz w:val="16"/>
        </w:rPr>
        <w:t xml:space="preserve">Zdroj: Príloha 1, hárok </w:t>
      </w:r>
      <w:r>
        <w:rPr>
          <w:i/>
          <w:sz w:val="16"/>
        </w:rPr>
        <w:t>0</w:t>
      </w:r>
      <w:r w:rsidR="002302CC">
        <w:rPr>
          <w:i/>
          <w:sz w:val="16"/>
        </w:rPr>
        <w:t>5</w:t>
      </w:r>
    </w:p>
    <w:p w14:paraId="6F9C0428" w14:textId="72A58B4C" w:rsidR="00B26080" w:rsidRPr="00654F28" w:rsidRDefault="00A17F90" w:rsidP="00B26080">
      <w:r>
        <w:t>Finančná medzera je nulová, financovanie bude zabezpečené z vlastných zdrojov z elektronického výberu mýta.</w:t>
      </w:r>
      <w:r w:rsidR="00B26080">
        <w:t xml:space="preserve"> Neuvažuje sa </w:t>
      </w:r>
      <w:r w:rsidR="00C7419C">
        <w:t>s</w:t>
      </w:r>
      <w:r w:rsidR="00B26080">
        <w:t xml:space="preserve">o splátkami úverov, ani </w:t>
      </w:r>
      <w:r w:rsidR="00C7419C">
        <w:t>s </w:t>
      </w:r>
      <w:r w:rsidR="00B26080">
        <w:t>financovaním z fondov EÚ. Projekt je finančne udržateľný a finančná medzera je nulová.</w:t>
      </w:r>
    </w:p>
    <w:p w14:paraId="16855839" w14:textId="4ED7DCA5" w:rsidR="00A17F90" w:rsidRPr="003027A0" w:rsidRDefault="00A17F90" w:rsidP="003027A0"/>
    <w:p w14:paraId="4CDCB669" w14:textId="60535F2D" w:rsidR="00DC5303" w:rsidRDefault="00DC5303" w:rsidP="00A40297">
      <w:pPr>
        <w:pStyle w:val="Heading3"/>
      </w:pPr>
      <w:bookmarkStart w:id="147" w:name="_Toc33006402"/>
      <w:bookmarkStart w:id="148" w:name="_Toc87348749"/>
      <w:r>
        <w:t>Vyhodnotenie finančnej analýzy</w:t>
      </w:r>
      <w:bookmarkEnd w:id="147"/>
      <w:r w:rsidR="0095790F">
        <w:t xml:space="preserve"> – Variant 1</w:t>
      </w:r>
      <w:bookmarkEnd w:id="148"/>
    </w:p>
    <w:p w14:paraId="4A4EB4CF" w14:textId="0C17E201" w:rsidR="00DC5303" w:rsidRDefault="00DC5303" w:rsidP="00A40297">
      <w:pPr>
        <w:pStyle w:val="Heading4"/>
      </w:pPr>
      <w:bookmarkStart w:id="149" w:name="_Toc33006403"/>
      <w:r>
        <w:t>Čistá súčasná hodnota investície</w:t>
      </w:r>
      <w:bookmarkEnd w:id="149"/>
    </w:p>
    <w:p w14:paraId="487B3ACC" w14:textId="4B212879" w:rsidR="00DC5303" w:rsidRDefault="00DC5303" w:rsidP="00DC5303">
      <w:r>
        <w:t xml:space="preserve">Na základe hotovostných tokov </w:t>
      </w:r>
      <w:r w:rsidR="00035E7F">
        <w:t xml:space="preserve">variantu </w:t>
      </w:r>
      <w:r w:rsidR="00813B6E">
        <w:t xml:space="preserve">1 </w:t>
      </w:r>
      <w:r>
        <w:t>projektu bola stanovená čistá finančná súčasná hodnota investície FNPV-C pri uvažovaní diskontnej sadzby 4,0 %. Zostatková hodnota na konci projektu je rovná nule.</w:t>
      </w:r>
    </w:p>
    <w:p w14:paraId="28F87AE9" w14:textId="0347FDA2" w:rsidR="00717F8B" w:rsidRDefault="00717F8B" w:rsidP="00717F8B">
      <w:pPr>
        <w:pStyle w:val="Caption"/>
      </w:pPr>
      <w:r>
        <w:t xml:space="preserve">Tab. </w:t>
      </w:r>
      <w:r>
        <w:fldChar w:fldCharType="begin"/>
      </w:r>
      <w:r>
        <w:instrText xml:space="preserve"> SEQ Tab. \* ARABIC </w:instrText>
      </w:r>
      <w:r>
        <w:fldChar w:fldCharType="separate"/>
      </w:r>
      <w:r w:rsidR="00A86720">
        <w:rPr>
          <w:noProof/>
        </w:rPr>
        <w:t>35</w:t>
      </w:r>
      <w:r>
        <w:fldChar w:fldCharType="end"/>
      </w:r>
      <w:r>
        <w:t xml:space="preserve"> Finančná čistá súčasná hodnota investície, finančné toky v Eur</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56"/>
        <w:gridCol w:w="1162"/>
        <w:gridCol w:w="1162"/>
        <w:gridCol w:w="1162"/>
        <w:gridCol w:w="1162"/>
        <w:gridCol w:w="1163"/>
      </w:tblGrid>
      <w:tr w:rsidR="004B03EA" w:rsidRPr="004B03EA" w14:paraId="580B2C83" w14:textId="77777777" w:rsidTr="004B03EA">
        <w:trPr>
          <w:trHeight w:val="225"/>
        </w:trPr>
        <w:tc>
          <w:tcPr>
            <w:tcW w:w="3256" w:type="dxa"/>
            <w:shd w:val="clear" w:color="auto" w:fill="BDD6EE" w:themeFill="accent1" w:themeFillTint="66"/>
            <w:noWrap/>
            <w:vAlign w:val="center"/>
            <w:hideMark/>
          </w:tcPr>
          <w:p w14:paraId="57567BE0" w14:textId="3F43595D" w:rsidR="004B03EA" w:rsidRPr="004B03EA" w:rsidRDefault="00717F8B" w:rsidP="00B26080">
            <w:pPr>
              <w:spacing w:before="0" w:after="0" w:line="240" w:lineRule="auto"/>
              <w:jc w:val="left"/>
              <w:rPr>
                <w:rFonts w:asciiTheme="minorHAnsi" w:hAnsiTheme="minorHAnsi" w:cs="Arial"/>
                <w:b/>
                <w:bCs/>
                <w:sz w:val="18"/>
                <w:szCs w:val="18"/>
              </w:rPr>
            </w:pPr>
            <w:r w:rsidRPr="004B03EA">
              <w:rPr>
                <w:rFonts w:asciiTheme="minorHAnsi" w:hAnsiTheme="minorHAnsi" w:cs="Arial"/>
                <w:b/>
                <w:bCs/>
                <w:sz w:val="18"/>
                <w:szCs w:val="18"/>
              </w:rPr>
              <w:t>6.1 Finančná čistá súčasná hodnota investície  (F</w:t>
            </w:r>
            <w:r w:rsidR="00B26080">
              <w:rPr>
                <w:rFonts w:asciiTheme="minorHAnsi" w:hAnsiTheme="minorHAnsi" w:cs="Arial"/>
                <w:b/>
                <w:bCs/>
                <w:sz w:val="18"/>
                <w:szCs w:val="18"/>
              </w:rPr>
              <w:t>NPV</w:t>
            </w:r>
            <w:r w:rsidRPr="004B03EA">
              <w:rPr>
                <w:rFonts w:asciiTheme="minorHAnsi" w:hAnsiTheme="minorHAnsi" w:cs="Arial"/>
                <w:b/>
                <w:bCs/>
                <w:sz w:val="18"/>
                <w:szCs w:val="18"/>
              </w:rPr>
              <w:t>_C)</w:t>
            </w:r>
          </w:p>
        </w:tc>
        <w:tc>
          <w:tcPr>
            <w:tcW w:w="1162" w:type="dxa"/>
            <w:shd w:val="clear" w:color="auto" w:fill="BDD6EE" w:themeFill="accent1" w:themeFillTint="66"/>
            <w:noWrap/>
            <w:vAlign w:val="center"/>
            <w:hideMark/>
          </w:tcPr>
          <w:p w14:paraId="2BDB18F1" w14:textId="77777777" w:rsidR="004B03EA" w:rsidRPr="004B03EA" w:rsidRDefault="004B03EA" w:rsidP="00717F8B">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2022</w:t>
            </w:r>
          </w:p>
        </w:tc>
        <w:tc>
          <w:tcPr>
            <w:tcW w:w="1162" w:type="dxa"/>
            <w:shd w:val="clear" w:color="auto" w:fill="BDD6EE" w:themeFill="accent1" w:themeFillTint="66"/>
            <w:noWrap/>
            <w:vAlign w:val="center"/>
            <w:hideMark/>
          </w:tcPr>
          <w:p w14:paraId="0F58A3DB" w14:textId="77777777" w:rsidR="004B03EA" w:rsidRPr="004B03EA" w:rsidRDefault="004B03EA" w:rsidP="00717F8B">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2023</w:t>
            </w:r>
          </w:p>
        </w:tc>
        <w:tc>
          <w:tcPr>
            <w:tcW w:w="1162" w:type="dxa"/>
            <w:shd w:val="clear" w:color="auto" w:fill="BDD6EE" w:themeFill="accent1" w:themeFillTint="66"/>
            <w:noWrap/>
            <w:vAlign w:val="center"/>
            <w:hideMark/>
          </w:tcPr>
          <w:p w14:paraId="5692B4EA" w14:textId="77777777" w:rsidR="004B03EA" w:rsidRPr="004B03EA" w:rsidRDefault="004B03EA" w:rsidP="00717F8B">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2024</w:t>
            </w:r>
          </w:p>
        </w:tc>
        <w:tc>
          <w:tcPr>
            <w:tcW w:w="1162" w:type="dxa"/>
            <w:shd w:val="clear" w:color="auto" w:fill="BDD6EE" w:themeFill="accent1" w:themeFillTint="66"/>
            <w:noWrap/>
            <w:vAlign w:val="center"/>
            <w:hideMark/>
          </w:tcPr>
          <w:p w14:paraId="5533633A" w14:textId="77777777" w:rsidR="004B03EA" w:rsidRPr="004B03EA" w:rsidRDefault="004B03EA" w:rsidP="00717F8B">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2025</w:t>
            </w:r>
          </w:p>
        </w:tc>
        <w:tc>
          <w:tcPr>
            <w:tcW w:w="1163" w:type="dxa"/>
            <w:shd w:val="clear" w:color="auto" w:fill="BDD6EE" w:themeFill="accent1" w:themeFillTint="66"/>
            <w:noWrap/>
            <w:vAlign w:val="center"/>
            <w:hideMark/>
          </w:tcPr>
          <w:p w14:paraId="2F728954" w14:textId="77777777" w:rsidR="004B03EA" w:rsidRPr="004B03EA" w:rsidRDefault="004B03EA" w:rsidP="00717F8B">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2026</w:t>
            </w:r>
          </w:p>
        </w:tc>
      </w:tr>
      <w:tr w:rsidR="000A4BF0" w:rsidRPr="004B03EA" w14:paraId="36318E5A" w14:textId="77777777" w:rsidTr="00EF1CB7">
        <w:trPr>
          <w:trHeight w:val="225"/>
        </w:trPr>
        <w:tc>
          <w:tcPr>
            <w:tcW w:w="3256" w:type="dxa"/>
            <w:shd w:val="clear" w:color="auto" w:fill="DEEAF6" w:themeFill="accent1" w:themeFillTint="33"/>
            <w:noWrap/>
            <w:vAlign w:val="center"/>
            <w:hideMark/>
          </w:tcPr>
          <w:p w14:paraId="3FB784FE"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Investičné výdavky</w:t>
            </w:r>
          </w:p>
        </w:tc>
        <w:tc>
          <w:tcPr>
            <w:tcW w:w="1162" w:type="dxa"/>
            <w:shd w:val="clear" w:color="auto" w:fill="auto"/>
            <w:noWrap/>
            <w:vAlign w:val="center"/>
            <w:hideMark/>
          </w:tcPr>
          <w:p w14:paraId="7E75D139" w14:textId="6AEE601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162" w:type="dxa"/>
            <w:shd w:val="clear" w:color="auto" w:fill="auto"/>
            <w:noWrap/>
            <w:vAlign w:val="center"/>
            <w:hideMark/>
          </w:tcPr>
          <w:p w14:paraId="08E86674" w14:textId="55E8F0DA"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56AF3599" w14:textId="646CB256"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1162" w:type="dxa"/>
            <w:shd w:val="clear" w:color="auto" w:fill="auto"/>
            <w:noWrap/>
            <w:vAlign w:val="center"/>
            <w:hideMark/>
          </w:tcPr>
          <w:p w14:paraId="1AA81709" w14:textId="39027099"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1163" w:type="dxa"/>
            <w:shd w:val="clear" w:color="auto" w:fill="auto"/>
            <w:noWrap/>
            <w:vAlign w:val="center"/>
            <w:hideMark/>
          </w:tcPr>
          <w:p w14:paraId="3D886FB0" w14:textId="2DA671E1"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r>
      <w:tr w:rsidR="000A4BF0" w:rsidRPr="004B03EA" w14:paraId="0487A252" w14:textId="77777777" w:rsidTr="00EF1CB7">
        <w:trPr>
          <w:trHeight w:val="225"/>
        </w:trPr>
        <w:tc>
          <w:tcPr>
            <w:tcW w:w="3256" w:type="dxa"/>
            <w:shd w:val="clear" w:color="auto" w:fill="DEEAF6" w:themeFill="accent1" w:themeFillTint="33"/>
            <w:noWrap/>
            <w:vAlign w:val="center"/>
            <w:hideMark/>
          </w:tcPr>
          <w:p w14:paraId="262EDD40"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Prevádzkové výdavky</w:t>
            </w:r>
          </w:p>
        </w:tc>
        <w:tc>
          <w:tcPr>
            <w:tcW w:w="1162" w:type="dxa"/>
            <w:shd w:val="clear" w:color="auto" w:fill="auto"/>
            <w:noWrap/>
            <w:vAlign w:val="center"/>
            <w:hideMark/>
          </w:tcPr>
          <w:p w14:paraId="6EEAAFD2" w14:textId="656B8579"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80 404 602</w:t>
            </w:r>
          </w:p>
        </w:tc>
        <w:tc>
          <w:tcPr>
            <w:tcW w:w="1162" w:type="dxa"/>
            <w:shd w:val="clear" w:color="auto" w:fill="auto"/>
            <w:noWrap/>
            <w:vAlign w:val="center"/>
            <w:hideMark/>
          </w:tcPr>
          <w:p w14:paraId="3C6807BF" w14:textId="68EC70C2"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70 039 061</w:t>
            </w:r>
          </w:p>
        </w:tc>
        <w:tc>
          <w:tcPr>
            <w:tcW w:w="1162" w:type="dxa"/>
            <w:shd w:val="clear" w:color="auto" w:fill="auto"/>
            <w:noWrap/>
            <w:vAlign w:val="center"/>
            <w:hideMark/>
          </w:tcPr>
          <w:p w14:paraId="7DFDF8FC" w14:textId="51AEC1B4"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69 302 938</w:t>
            </w:r>
          </w:p>
        </w:tc>
        <w:tc>
          <w:tcPr>
            <w:tcW w:w="1162" w:type="dxa"/>
            <w:shd w:val="clear" w:color="auto" w:fill="auto"/>
            <w:noWrap/>
            <w:vAlign w:val="center"/>
            <w:hideMark/>
          </w:tcPr>
          <w:p w14:paraId="1345CA25" w14:textId="384A0091"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69 305 294</w:t>
            </w:r>
          </w:p>
        </w:tc>
        <w:tc>
          <w:tcPr>
            <w:tcW w:w="1163" w:type="dxa"/>
            <w:shd w:val="clear" w:color="auto" w:fill="auto"/>
            <w:noWrap/>
            <w:vAlign w:val="center"/>
            <w:hideMark/>
          </w:tcPr>
          <w:p w14:paraId="7768A4CF" w14:textId="0A047CEA"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69 633 586</w:t>
            </w:r>
          </w:p>
        </w:tc>
      </w:tr>
      <w:tr w:rsidR="000A4BF0" w:rsidRPr="004B03EA" w14:paraId="1E596E04" w14:textId="77777777" w:rsidTr="00A40297">
        <w:trPr>
          <w:trHeight w:val="225"/>
        </w:trPr>
        <w:tc>
          <w:tcPr>
            <w:tcW w:w="3256" w:type="dxa"/>
            <w:shd w:val="clear" w:color="auto" w:fill="DEEAF6" w:themeFill="accent1" w:themeFillTint="33"/>
            <w:noWrap/>
            <w:vAlign w:val="center"/>
            <w:hideMark/>
          </w:tcPr>
          <w:p w14:paraId="626AE6D9"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Príjmy</w:t>
            </w:r>
          </w:p>
        </w:tc>
        <w:tc>
          <w:tcPr>
            <w:tcW w:w="1162" w:type="dxa"/>
            <w:shd w:val="clear" w:color="auto" w:fill="auto"/>
            <w:noWrap/>
            <w:vAlign w:val="center"/>
            <w:hideMark/>
          </w:tcPr>
          <w:p w14:paraId="3A27027A" w14:textId="6938E65C"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233 655 755</w:t>
            </w:r>
          </w:p>
        </w:tc>
        <w:tc>
          <w:tcPr>
            <w:tcW w:w="1162" w:type="dxa"/>
            <w:shd w:val="clear" w:color="auto" w:fill="auto"/>
            <w:noWrap/>
            <w:vAlign w:val="center"/>
            <w:hideMark/>
          </w:tcPr>
          <w:p w14:paraId="0596CE87" w14:textId="46EA50F5"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245 504 057</w:t>
            </w:r>
          </w:p>
        </w:tc>
        <w:tc>
          <w:tcPr>
            <w:tcW w:w="1162" w:type="dxa"/>
            <w:shd w:val="clear" w:color="auto" w:fill="auto"/>
            <w:noWrap/>
            <w:vAlign w:val="center"/>
            <w:hideMark/>
          </w:tcPr>
          <w:p w14:paraId="057DBA1C" w14:textId="2630924F" w:rsidR="000A4BF0" w:rsidRPr="005A7D49"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248 712 141</w:t>
            </w:r>
          </w:p>
        </w:tc>
        <w:tc>
          <w:tcPr>
            <w:tcW w:w="1162" w:type="dxa"/>
            <w:shd w:val="clear" w:color="auto" w:fill="auto"/>
            <w:noWrap/>
            <w:vAlign w:val="center"/>
            <w:hideMark/>
          </w:tcPr>
          <w:p w14:paraId="435965F7" w14:textId="3069A93B"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251 653 366</w:t>
            </w:r>
          </w:p>
        </w:tc>
        <w:tc>
          <w:tcPr>
            <w:tcW w:w="1163" w:type="dxa"/>
            <w:shd w:val="clear" w:color="auto" w:fill="auto"/>
            <w:noWrap/>
            <w:vAlign w:val="center"/>
            <w:hideMark/>
          </w:tcPr>
          <w:p w14:paraId="57A98B7F" w14:textId="608E0FAD"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255 239 016</w:t>
            </w:r>
          </w:p>
        </w:tc>
      </w:tr>
      <w:tr w:rsidR="000A4BF0" w:rsidRPr="004B03EA" w14:paraId="77D9D088" w14:textId="77777777" w:rsidTr="00A40297">
        <w:trPr>
          <w:trHeight w:val="240"/>
        </w:trPr>
        <w:tc>
          <w:tcPr>
            <w:tcW w:w="3256" w:type="dxa"/>
            <w:shd w:val="clear" w:color="auto" w:fill="DEEAF6" w:themeFill="accent1" w:themeFillTint="33"/>
            <w:noWrap/>
            <w:vAlign w:val="center"/>
            <w:hideMark/>
          </w:tcPr>
          <w:p w14:paraId="67DE51FD"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Zostatková hodnota</w:t>
            </w:r>
          </w:p>
        </w:tc>
        <w:tc>
          <w:tcPr>
            <w:tcW w:w="1162" w:type="dxa"/>
            <w:shd w:val="clear" w:color="auto" w:fill="auto"/>
            <w:noWrap/>
            <w:vAlign w:val="center"/>
            <w:hideMark/>
          </w:tcPr>
          <w:p w14:paraId="56FC3C23" w14:textId="44FC587B"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259BF3C4" w14:textId="1FDB5175"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6AE37301" w14:textId="3BD0C920"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 </w:t>
            </w:r>
          </w:p>
        </w:tc>
        <w:tc>
          <w:tcPr>
            <w:tcW w:w="1162" w:type="dxa"/>
            <w:shd w:val="clear" w:color="auto" w:fill="auto"/>
            <w:noWrap/>
            <w:vAlign w:val="center"/>
            <w:hideMark/>
          </w:tcPr>
          <w:p w14:paraId="32BFCE2C" w14:textId="53C09F60"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 </w:t>
            </w:r>
          </w:p>
        </w:tc>
        <w:tc>
          <w:tcPr>
            <w:tcW w:w="1163" w:type="dxa"/>
            <w:shd w:val="clear" w:color="auto" w:fill="auto"/>
            <w:noWrap/>
            <w:vAlign w:val="center"/>
            <w:hideMark/>
          </w:tcPr>
          <w:p w14:paraId="03553B8A" w14:textId="1FAEFC0B"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 </w:t>
            </w:r>
          </w:p>
        </w:tc>
      </w:tr>
      <w:tr w:rsidR="000A4BF0" w:rsidRPr="004B03EA" w14:paraId="5D9BC314" w14:textId="77777777" w:rsidTr="00A40297">
        <w:trPr>
          <w:trHeight w:val="240"/>
        </w:trPr>
        <w:tc>
          <w:tcPr>
            <w:tcW w:w="3256" w:type="dxa"/>
            <w:shd w:val="clear" w:color="auto" w:fill="BDD6EE" w:themeFill="accent1" w:themeFillTint="66"/>
            <w:noWrap/>
            <w:vAlign w:val="center"/>
            <w:hideMark/>
          </w:tcPr>
          <w:p w14:paraId="7A21E279" w14:textId="77777777" w:rsidR="000A4BF0" w:rsidRPr="004B03EA" w:rsidRDefault="000A4BF0" w:rsidP="000A4BF0">
            <w:pPr>
              <w:spacing w:before="0" w:after="0" w:line="240" w:lineRule="auto"/>
              <w:jc w:val="left"/>
              <w:rPr>
                <w:rFonts w:asciiTheme="minorHAnsi" w:hAnsiTheme="minorHAnsi" w:cs="Arial"/>
                <w:b/>
                <w:bCs/>
                <w:sz w:val="18"/>
                <w:szCs w:val="18"/>
              </w:rPr>
            </w:pPr>
            <w:r w:rsidRPr="004B03EA">
              <w:rPr>
                <w:rFonts w:asciiTheme="minorHAnsi" w:hAnsiTheme="minorHAnsi" w:cs="Arial"/>
                <w:b/>
                <w:bCs/>
                <w:sz w:val="18"/>
                <w:szCs w:val="18"/>
              </w:rPr>
              <w:t>Čisté peňažné toky</w:t>
            </w:r>
          </w:p>
        </w:tc>
        <w:tc>
          <w:tcPr>
            <w:tcW w:w="1162" w:type="dxa"/>
            <w:shd w:val="clear" w:color="auto" w:fill="BDD6EE" w:themeFill="accent1" w:themeFillTint="66"/>
            <w:noWrap/>
            <w:vAlign w:val="center"/>
            <w:hideMark/>
          </w:tcPr>
          <w:p w14:paraId="00FA307A" w14:textId="1708077E"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149 838 673</w:t>
            </w:r>
          </w:p>
        </w:tc>
        <w:tc>
          <w:tcPr>
            <w:tcW w:w="1162" w:type="dxa"/>
            <w:shd w:val="clear" w:color="auto" w:fill="BDD6EE" w:themeFill="accent1" w:themeFillTint="66"/>
            <w:noWrap/>
            <w:vAlign w:val="center"/>
            <w:hideMark/>
          </w:tcPr>
          <w:p w14:paraId="192256D2" w14:textId="2A1429EB"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175 464 996</w:t>
            </w:r>
          </w:p>
        </w:tc>
        <w:tc>
          <w:tcPr>
            <w:tcW w:w="1162" w:type="dxa"/>
            <w:shd w:val="clear" w:color="auto" w:fill="BDD6EE" w:themeFill="accent1" w:themeFillTint="66"/>
            <w:noWrap/>
            <w:vAlign w:val="center"/>
            <w:hideMark/>
          </w:tcPr>
          <w:p w14:paraId="556966FE" w14:textId="6298D83D"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179 409 204</w:t>
            </w:r>
          </w:p>
        </w:tc>
        <w:tc>
          <w:tcPr>
            <w:tcW w:w="1162" w:type="dxa"/>
            <w:shd w:val="clear" w:color="auto" w:fill="BDD6EE" w:themeFill="accent1" w:themeFillTint="66"/>
            <w:noWrap/>
            <w:vAlign w:val="center"/>
            <w:hideMark/>
          </w:tcPr>
          <w:p w14:paraId="47A10629" w14:textId="1CAC7B06"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182 348 072</w:t>
            </w:r>
          </w:p>
        </w:tc>
        <w:tc>
          <w:tcPr>
            <w:tcW w:w="1163" w:type="dxa"/>
            <w:shd w:val="clear" w:color="auto" w:fill="BDD6EE" w:themeFill="accent1" w:themeFillTint="66"/>
            <w:noWrap/>
            <w:vAlign w:val="center"/>
            <w:hideMark/>
          </w:tcPr>
          <w:p w14:paraId="07763A00" w14:textId="1FF84702"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185 605 430</w:t>
            </w:r>
          </w:p>
        </w:tc>
      </w:tr>
    </w:tbl>
    <w:p w14:paraId="635A3A96" w14:textId="77777777" w:rsidR="00717F8B" w:rsidRDefault="00717F8B"/>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4957"/>
        <w:gridCol w:w="4110"/>
      </w:tblGrid>
      <w:tr w:rsidR="00813B6E" w:rsidRPr="004B03EA" w14:paraId="47C5E164" w14:textId="77777777" w:rsidTr="00A40297">
        <w:trPr>
          <w:trHeight w:val="240"/>
        </w:trPr>
        <w:tc>
          <w:tcPr>
            <w:tcW w:w="4957" w:type="dxa"/>
            <w:shd w:val="clear" w:color="auto" w:fill="DEEAF6" w:themeFill="accent1" w:themeFillTint="33"/>
            <w:noWrap/>
            <w:vAlign w:val="center"/>
            <w:hideMark/>
          </w:tcPr>
          <w:p w14:paraId="20BA7CD3" w14:textId="7E0E4450" w:rsidR="00813B6E" w:rsidRPr="004B03EA" w:rsidRDefault="00813B6E" w:rsidP="00813B6E">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Finančná čistá súčasná hodnota investície (F</w:t>
            </w:r>
            <w:r>
              <w:rPr>
                <w:rFonts w:asciiTheme="minorHAnsi" w:hAnsiTheme="minorHAnsi" w:cs="Arial"/>
                <w:sz w:val="18"/>
                <w:szCs w:val="18"/>
              </w:rPr>
              <w:t>NPV</w:t>
            </w:r>
            <w:r w:rsidRPr="004B03EA">
              <w:rPr>
                <w:rFonts w:asciiTheme="minorHAnsi" w:hAnsiTheme="minorHAnsi" w:cs="Arial"/>
                <w:sz w:val="18"/>
                <w:szCs w:val="18"/>
              </w:rPr>
              <w:t>_C)</w:t>
            </w:r>
          </w:p>
        </w:tc>
        <w:tc>
          <w:tcPr>
            <w:tcW w:w="4110" w:type="dxa"/>
            <w:shd w:val="clear" w:color="auto" w:fill="auto"/>
            <w:noWrap/>
            <w:vAlign w:val="bottom"/>
            <w:hideMark/>
          </w:tcPr>
          <w:p w14:paraId="2D537967" w14:textId="40B48730" w:rsidR="00813B6E" w:rsidRPr="005A7D49" w:rsidRDefault="00813B6E" w:rsidP="006D3285">
            <w:pPr>
              <w:spacing w:before="0" w:after="0" w:line="240" w:lineRule="auto"/>
              <w:jc w:val="right"/>
              <w:rPr>
                <w:rFonts w:asciiTheme="minorHAnsi" w:hAnsiTheme="minorHAnsi" w:cstheme="minorHAnsi"/>
                <w:sz w:val="18"/>
                <w:szCs w:val="18"/>
                <w:lang w:val="cs-CZ"/>
              </w:rPr>
            </w:pPr>
            <w:r>
              <w:rPr>
                <w:rFonts w:ascii="Calibri" w:hAnsi="Calibri" w:cs="Calibri"/>
                <w:sz w:val="18"/>
                <w:szCs w:val="18"/>
              </w:rPr>
              <w:t xml:space="preserve">774 </w:t>
            </w:r>
            <w:r w:rsidR="000A4BF0">
              <w:rPr>
                <w:rFonts w:ascii="Calibri" w:hAnsi="Calibri" w:cs="Calibri"/>
                <w:sz w:val="18"/>
                <w:szCs w:val="18"/>
              </w:rPr>
              <w:t xml:space="preserve">223 058 </w:t>
            </w:r>
            <w:r>
              <w:rPr>
                <w:rFonts w:ascii="Calibri" w:hAnsi="Calibri" w:cs="Calibri"/>
                <w:sz w:val="18"/>
                <w:szCs w:val="18"/>
              </w:rPr>
              <w:t xml:space="preserve">Eur </w:t>
            </w:r>
          </w:p>
        </w:tc>
      </w:tr>
      <w:tr w:rsidR="00813B6E" w:rsidRPr="004B03EA" w14:paraId="2D74FEB6" w14:textId="77777777" w:rsidTr="00A40297">
        <w:trPr>
          <w:trHeight w:val="240"/>
        </w:trPr>
        <w:tc>
          <w:tcPr>
            <w:tcW w:w="4957" w:type="dxa"/>
            <w:shd w:val="clear" w:color="auto" w:fill="DEEAF6" w:themeFill="accent1" w:themeFillTint="33"/>
            <w:noWrap/>
            <w:vAlign w:val="center"/>
            <w:hideMark/>
          </w:tcPr>
          <w:p w14:paraId="0D6491E6" w14:textId="77777777" w:rsidR="00813B6E" w:rsidRPr="004B03EA" w:rsidRDefault="00813B6E" w:rsidP="00813B6E">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Finančné vnútorné výnosové percento investície  (FIRR_C)</w:t>
            </w:r>
          </w:p>
        </w:tc>
        <w:tc>
          <w:tcPr>
            <w:tcW w:w="4110" w:type="dxa"/>
            <w:shd w:val="clear" w:color="auto" w:fill="auto"/>
            <w:noWrap/>
            <w:vAlign w:val="bottom"/>
            <w:hideMark/>
          </w:tcPr>
          <w:p w14:paraId="663DCC7D" w14:textId="68B3026B" w:rsidR="00813B6E" w:rsidRPr="00CD5120" w:rsidRDefault="000A4BF0" w:rsidP="00813B6E">
            <w:pPr>
              <w:spacing w:before="0" w:after="0" w:line="240" w:lineRule="auto"/>
              <w:jc w:val="right"/>
              <w:rPr>
                <w:rFonts w:asciiTheme="minorHAnsi" w:hAnsiTheme="minorHAnsi" w:cstheme="minorHAnsi"/>
                <w:sz w:val="18"/>
                <w:szCs w:val="18"/>
              </w:rPr>
            </w:pPr>
            <w:r>
              <w:rPr>
                <w:rFonts w:ascii="Calibri" w:hAnsi="Calibri" w:cs="Calibri"/>
                <w:sz w:val="18"/>
                <w:szCs w:val="18"/>
              </w:rPr>
              <w:t xml:space="preserve">4505 </w:t>
            </w:r>
            <w:r w:rsidR="00813B6E">
              <w:rPr>
                <w:rFonts w:ascii="Calibri" w:hAnsi="Calibri" w:cs="Calibri"/>
                <w:sz w:val="18"/>
                <w:szCs w:val="18"/>
              </w:rPr>
              <w:t>%</w:t>
            </w:r>
          </w:p>
        </w:tc>
      </w:tr>
    </w:tbl>
    <w:p w14:paraId="2438C5DB" w14:textId="563BCAE8" w:rsidR="00717F8B" w:rsidRDefault="002302CC">
      <w:r w:rsidRPr="00DA4343">
        <w:rPr>
          <w:i/>
          <w:sz w:val="16"/>
        </w:rPr>
        <w:t xml:space="preserve">Zdroj: Príloha 1, hárok </w:t>
      </w:r>
      <w:r>
        <w:rPr>
          <w:i/>
          <w:sz w:val="16"/>
        </w:rPr>
        <w:t>06</w:t>
      </w:r>
    </w:p>
    <w:p w14:paraId="3E8FCBD2" w14:textId="53DDCAD5" w:rsidR="00B26080" w:rsidRDefault="00B26080" w:rsidP="00B26080">
      <w:r>
        <w:lastRenderedPageBreak/>
        <w:t>Predmetom projektu je nástroj k zabezpečen</w:t>
      </w:r>
      <w:r w:rsidR="00C7419C">
        <w:t>iu</w:t>
      </w:r>
      <w:r>
        <w:t xml:space="preserve"> výberu mýta, ktorý sám o sebe nevytvára hodnotu, iba zabezpečuje fiškálnu funkciu. V tomto kontexte je potrebné interpretovať údaje v kategórii „Príjmy“</w:t>
      </w:r>
      <w:r w:rsidR="00C7419C">
        <w:t>,</w:t>
      </w:r>
      <w:r>
        <w:t xml:space="preserve"> a</w:t>
      </w:r>
      <w:r w:rsidR="00C7419C">
        <w:t>ko aj</w:t>
      </w:r>
      <w:r>
        <w:t> odvodené ukazovatele čistej súčasnej hodnoty a vnútorného výnosového percenta.</w:t>
      </w:r>
    </w:p>
    <w:p w14:paraId="5383730A" w14:textId="7066C425" w:rsidR="00BC7853" w:rsidRPr="007374FC" w:rsidRDefault="00BC7853" w:rsidP="00B26080"/>
    <w:p w14:paraId="2BFED175" w14:textId="77777777" w:rsidR="00B26080" w:rsidRDefault="00B26080" w:rsidP="00A40297">
      <w:pPr>
        <w:pStyle w:val="Heading4"/>
      </w:pPr>
      <w:bookmarkStart w:id="150" w:name="_Toc33006404"/>
      <w:r>
        <w:t>Čistá súčasná hodnota kapitálu</w:t>
      </w:r>
      <w:bookmarkEnd w:id="150"/>
    </w:p>
    <w:p w14:paraId="69B63DF5" w14:textId="0D3405A7" w:rsidR="00B26080" w:rsidRDefault="00B26080" w:rsidP="00B26080">
      <w:r>
        <w:t xml:space="preserve">Financovanie projektu bude zabezpečené z vlastných zdrojov – priamo z vybraného mýta. Neuvažuje sa </w:t>
      </w:r>
      <w:r w:rsidR="00C7419C">
        <w:t>s</w:t>
      </w:r>
      <w:r>
        <w:t xml:space="preserve">o splátkami úverov, ani </w:t>
      </w:r>
      <w:r w:rsidR="00C7419C">
        <w:t>s</w:t>
      </w:r>
      <w:r>
        <w:t> financovaním z fondov EÚ. Na základe hotovostných tokov bola stanovená čistá finančná súčasná hodnota kapitálu FNPV-K pri uvažovaní diskontnej sadzby 4,0 %. Zostatková hodnota na konci projektu je rovná nule.</w:t>
      </w:r>
    </w:p>
    <w:p w14:paraId="1FC99782" w14:textId="473D5736" w:rsidR="004907E7" w:rsidRDefault="004907E7">
      <w:pPr>
        <w:spacing w:before="0" w:after="0" w:line="240" w:lineRule="auto"/>
        <w:jc w:val="left"/>
      </w:pPr>
    </w:p>
    <w:p w14:paraId="7993499B" w14:textId="63F82EB2" w:rsidR="00717F8B" w:rsidRDefault="00717F8B" w:rsidP="00717F8B">
      <w:pPr>
        <w:pStyle w:val="Caption"/>
      </w:pPr>
      <w:r>
        <w:t xml:space="preserve">Tab. </w:t>
      </w:r>
      <w:r>
        <w:fldChar w:fldCharType="begin"/>
      </w:r>
      <w:r>
        <w:instrText xml:space="preserve"> SEQ Tab. \* ARABIC </w:instrText>
      </w:r>
      <w:r>
        <w:fldChar w:fldCharType="separate"/>
      </w:r>
      <w:r w:rsidR="00A86720">
        <w:rPr>
          <w:noProof/>
        </w:rPr>
        <w:t>36</w:t>
      </w:r>
      <w:r>
        <w:fldChar w:fldCharType="end"/>
      </w:r>
      <w:r>
        <w:t xml:space="preserve"> - Finančná čistá súčasná hodnota kapitálu, finančné toky v Eur</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56"/>
        <w:gridCol w:w="1162"/>
        <w:gridCol w:w="1162"/>
        <w:gridCol w:w="1162"/>
        <w:gridCol w:w="1162"/>
        <w:gridCol w:w="1163"/>
      </w:tblGrid>
      <w:tr w:rsidR="004B03EA" w:rsidRPr="00313F9C" w14:paraId="7B5FE298" w14:textId="77777777" w:rsidTr="004B03EA">
        <w:trPr>
          <w:trHeight w:val="225"/>
        </w:trPr>
        <w:tc>
          <w:tcPr>
            <w:tcW w:w="3256" w:type="dxa"/>
            <w:shd w:val="clear" w:color="auto" w:fill="BDD6EE" w:themeFill="accent1" w:themeFillTint="66"/>
            <w:noWrap/>
            <w:vAlign w:val="center"/>
            <w:hideMark/>
          </w:tcPr>
          <w:p w14:paraId="1178220F" w14:textId="57F6265E" w:rsidR="004B03EA" w:rsidRPr="00CD5120" w:rsidRDefault="00717F8B" w:rsidP="00717F8B">
            <w:pPr>
              <w:spacing w:before="0" w:after="0" w:line="240" w:lineRule="auto"/>
              <w:jc w:val="left"/>
              <w:rPr>
                <w:rFonts w:asciiTheme="minorHAnsi" w:hAnsiTheme="minorHAnsi" w:cstheme="minorHAnsi"/>
                <w:b/>
                <w:bCs/>
                <w:sz w:val="18"/>
                <w:szCs w:val="18"/>
              </w:rPr>
            </w:pPr>
            <w:r w:rsidRPr="00CD5120">
              <w:rPr>
                <w:rFonts w:asciiTheme="minorHAnsi" w:hAnsiTheme="minorHAnsi" w:cstheme="minorHAnsi"/>
                <w:b/>
                <w:bCs/>
                <w:sz w:val="18"/>
                <w:szCs w:val="18"/>
              </w:rPr>
              <w:t>6.2 Finančná čistá súčasná hodnota kapitálu  (FNPV_K)</w:t>
            </w:r>
          </w:p>
        </w:tc>
        <w:tc>
          <w:tcPr>
            <w:tcW w:w="1162" w:type="dxa"/>
            <w:shd w:val="clear" w:color="auto" w:fill="BDD6EE" w:themeFill="accent1" w:themeFillTint="66"/>
            <w:noWrap/>
            <w:vAlign w:val="center"/>
            <w:hideMark/>
          </w:tcPr>
          <w:p w14:paraId="48BF44AF"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2022</w:t>
            </w:r>
          </w:p>
        </w:tc>
        <w:tc>
          <w:tcPr>
            <w:tcW w:w="1162" w:type="dxa"/>
            <w:shd w:val="clear" w:color="auto" w:fill="BDD6EE" w:themeFill="accent1" w:themeFillTint="66"/>
            <w:noWrap/>
            <w:vAlign w:val="center"/>
            <w:hideMark/>
          </w:tcPr>
          <w:p w14:paraId="6CBABFFE"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2023</w:t>
            </w:r>
          </w:p>
        </w:tc>
        <w:tc>
          <w:tcPr>
            <w:tcW w:w="1162" w:type="dxa"/>
            <w:shd w:val="clear" w:color="auto" w:fill="BDD6EE" w:themeFill="accent1" w:themeFillTint="66"/>
            <w:noWrap/>
            <w:vAlign w:val="center"/>
            <w:hideMark/>
          </w:tcPr>
          <w:p w14:paraId="53646BFB"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2024</w:t>
            </w:r>
          </w:p>
        </w:tc>
        <w:tc>
          <w:tcPr>
            <w:tcW w:w="1162" w:type="dxa"/>
            <w:shd w:val="clear" w:color="auto" w:fill="BDD6EE" w:themeFill="accent1" w:themeFillTint="66"/>
            <w:noWrap/>
            <w:vAlign w:val="center"/>
            <w:hideMark/>
          </w:tcPr>
          <w:p w14:paraId="4E8F6E00"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2025</w:t>
            </w:r>
          </w:p>
        </w:tc>
        <w:tc>
          <w:tcPr>
            <w:tcW w:w="1163" w:type="dxa"/>
            <w:shd w:val="clear" w:color="auto" w:fill="BDD6EE" w:themeFill="accent1" w:themeFillTint="66"/>
            <w:noWrap/>
            <w:vAlign w:val="center"/>
            <w:hideMark/>
          </w:tcPr>
          <w:p w14:paraId="6F7BCC77"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2026</w:t>
            </w:r>
          </w:p>
        </w:tc>
      </w:tr>
      <w:tr w:rsidR="000A4BF0" w:rsidRPr="00313F9C" w14:paraId="482B80CC" w14:textId="77777777" w:rsidTr="006D3285">
        <w:trPr>
          <w:trHeight w:val="225"/>
        </w:trPr>
        <w:tc>
          <w:tcPr>
            <w:tcW w:w="3256" w:type="dxa"/>
            <w:shd w:val="clear" w:color="auto" w:fill="DEEAF6" w:themeFill="accent1" w:themeFillTint="33"/>
            <w:noWrap/>
            <w:vAlign w:val="center"/>
            <w:hideMark/>
          </w:tcPr>
          <w:p w14:paraId="2884DAAE"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Vlastné financovanie</w:t>
            </w:r>
          </w:p>
        </w:tc>
        <w:tc>
          <w:tcPr>
            <w:tcW w:w="1162" w:type="dxa"/>
            <w:shd w:val="clear" w:color="auto" w:fill="auto"/>
            <w:noWrap/>
            <w:vAlign w:val="center"/>
            <w:hideMark/>
          </w:tcPr>
          <w:p w14:paraId="0BC609A0" w14:textId="3670B5B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162" w:type="dxa"/>
            <w:shd w:val="clear" w:color="auto" w:fill="auto"/>
            <w:noWrap/>
            <w:vAlign w:val="center"/>
            <w:hideMark/>
          </w:tcPr>
          <w:p w14:paraId="476BEC62" w14:textId="1CF8D899"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bottom"/>
            <w:hideMark/>
          </w:tcPr>
          <w:p w14:paraId="12583A5B" w14:textId="119A1D42"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1162" w:type="dxa"/>
            <w:shd w:val="clear" w:color="auto" w:fill="auto"/>
            <w:noWrap/>
            <w:vAlign w:val="bottom"/>
            <w:hideMark/>
          </w:tcPr>
          <w:p w14:paraId="5DC364DD" w14:textId="60611EE1"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1163" w:type="dxa"/>
            <w:shd w:val="clear" w:color="auto" w:fill="auto"/>
            <w:noWrap/>
            <w:vAlign w:val="bottom"/>
            <w:hideMark/>
          </w:tcPr>
          <w:p w14:paraId="2C0147C8" w14:textId="08EA7688" w:rsidR="000A4BF0" w:rsidRPr="001F4096" w:rsidRDefault="000A4BF0" w:rsidP="000A4BF0">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r>
      <w:tr w:rsidR="000A4BF0" w:rsidRPr="00313F9C" w14:paraId="052A9447" w14:textId="77777777" w:rsidTr="006D3285">
        <w:trPr>
          <w:trHeight w:val="225"/>
        </w:trPr>
        <w:tc>
          <w:tcPr>
            <w:tcW w:w="3256" w:type="dxa"/>
            <w:shd w:val="clear" w:color="auto" w:fill="DEEAF6" w:themeFill="accent1" w:themeFillTint="33"/>
            <w:noWrap/>
            <w:vAlign w:val="center"/>
            <w:hideMark/>
          </w:tcPr>
          <w:p w14:paraId="47F8F457"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Prevádzkové výdavky</w:t>
            </w:r>
          </w:p>
        </w:tc>
        <w:tc>
          <w:tcPr>
            <w:tcW w:w="1162" w:type="dxa"/>
            <w:shd w:val="clear" w:color="auto" w:fill="auto"/>
            <w:noWrap/>
            <w:vAlign w:val="center"/>
            <w:hideMark/>
          </w:tcPr>
          <w:p w14:paraId="34C28C77" w14:textId="25D1FC40"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80 404 602</w:t>
            </w:r>
          </w:p>
        </w:tc>
        <w:tc>
          <w:tcPr>
            <w:tcW w:w="1162" w:type="dxa"/>
            <w:shd w:val="clear" w:color="auto" w:fill="auto"/>
            <w:noWrap/>
            <w:vAlign w:val="center"/>
            <w:hideMark/>
          </w:tcPr>
          <w:p w14:paraId="2693896C" w14:textId="03C6E99D"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70 039 061</w:t>
            </w:r>
          </w:p>
        </w:tc>
        <w:tc>
          <w:tcPr>
            <w:tcW w:w="1162" w:type="dxa"/>
            <w:shd w:val="clear" w:color="auto" w:fill="auto"/>
            <w:noWrap/>
            <w:vAlign w:val="center"/>
            <w:hideMark/>
          </w:tcPr>
          <w:p w14:paraId="050BC60F" w14:textId="00FCCEA8"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69 302 938</w:t>
            </w:r>
          </w:p>
        </w:tc>
        <w:tc>
          <w:tcPr>
            <w:tcW w:w="1162" w:type="dxa"/>
            <w:shd w:val="clear" w:color="auto" w:fill="auto"/>
            <w:noWrap/>
            <w:vAlign w:val="center"/>
            <w:hideMark/>
          </w:tcPr>
          <w:p w14:paraId="2FB9EE6A" w14:textId="7D90B35B"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69 305 294</w:t>
            </w:r>
          </w:p>
        </w:tc>
        <w:tc>
          <w:tcPr>
            <w:tcW w:w="1163" w:type="dxa"/>
            <w:shd w:val="clear" w:color="auto" w:fill="auto"/>
            <w:noWrap/>
            <w:vAlign w:val="center"/>
            <w:hideMark/>
          </w:tcPr>
          <w:p w14:paraId="0AFC1E7F" w14:textId="333DB055"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69 633 586</w:t>
            </w:r>
          </w:p>
        </w:tc>
      </w:tr>
      <w:tr w:rsidR="000A4BF0" w:rsidRPr="00313F9C" w14:paraId="30E8A5F9" w14:textId="77777777" w:rsidTr="006D3285">
        <w:trPr>
          <w:trHeight w:val="225"/>
        </w:trPr>
        <w:tc>
          <w:tcPr>
            <w:tcW w:w="3256" w:type="dxa"/>
            <w:shd w:val="clear" w:color="auto" w:fill="DEEAF6" w:themeFill="accent1" w:themeFillTint="33"/>
            <w:noWrap/>
            <w:vAlign w:val="center"/>
            <w:hideMark/>
          </w:tcPr>
          <w:p w14:paraId="4D872CBA"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Splátky úverov</w:t>
            </w:r>
          </w:p>
        </w:tc>
        <w:tc>
          <w:tcPr>
            <w:tcW w:w="1162" w:type="dxa"/>
            <w:shd w:val="clear" w:color="auto" w:fill="auto"/>
            <w:noWrap/>
            <w:vAlign w:val="center"/>
            <w:hideMark/>
          </w:tcPr>
          <w:p w14:paraId="55CBB99B" w14:textId="60A27F1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039C4794" w14:textId="54F1DFB5"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1D72AB32" w14:textId="5E1FFA7E"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531E5A01" w14:textId="0BD9A884"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3" w:type="dxa"/>
            <w:shd w:val="clear" w:color="auto" w:fill="auto"/>
            <w:noWrap/>
            <w:vAlign w:val="center"/>
            <w:hideMark/>
          </w:tcPr>
          <w:p w14:paraId="4E6FC515" w14:textId="38228348"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313F9C" w14:paraId="3C2BEC2E" w14:textId="77777777" w:rsidTr="006D3285">
        <w:trPr>
          <w:trHeight w:val="225"/>
        </w:trPr>
        <w:tc>
          <w:tcPr>
            <w:tcW w:w="3256" w:type="dxa"/>
            <w:shd w:val="clear" w:color="auto" w:fill="DEEAF6" w:themeFill="accent1" w:themeFillTint="33"/>
            <w:noWrap/>
            <w:vAlign w:val="center"/>
            <w:hideMark/>
          </w:tcPr>
          <w:p w14:paraId="68341826"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Príjmy</w:t>
            </w:r>
          </w:p>
        </w:tc>
        <w:tc>
          <w:tcPr>
            <w:tcW w:w="1162" w:type="dxa"/>
            <w:shd w:val="clear" w:color="auto" w:fill="auto"/>
            <w:noWrap/>
            <w:vAlign w:val="center"/>
            <w:hideMark/>
          </w:tcPr>
          <w:p w14:paraId="318F49B7" w14:textId="1F1324E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233 655 755</w:t>
            </w:r>
          </w:p>
        </w:tc>
        <w:tc>
          <w:tcPr>
            <w:tcW w:w="1162" w:type="dxa"/>
            <w:shd w:val="clear" w:color="auto" w:fill="auto"/>
            <w:noWrap/>
            <w:vAlign w:val="center"/>
            <w:hideMark/>
          </w:tcPr>
          <w:p w14:paraId="610BB823" w14:textId="3C7B2076"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245 504 057</w:t>
            </w:r>
          </w:p>
        </w:tc>
        <w:tc>
          <w:tcPr>
            <w:tcW w:w="1162" w:type="dxa"/>
            <w:shd w:val="clear" w:color="auto" w:fill="auto"/>
            <w:noWrap/>
            <w:vAlign w:val="center"/>
            <w:hideMark/>
          </w:tcPr>
          <w:p w14:paraId="19A3FB92" w14:textId="5A991C57"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248 712 141</w:t>
            </w:r>
          </w:p>
        </w:tc>
        <w:tc>
          <w:tcPr>
            <w:tcW w:w="1162" w:type="dxa"/>
            <w:shd w:val="clear" w:color="auto" w:fill="auto"/>
            <w:noWrap/>
            <w:vAlign w:val="center"/>
            <w:hideMark/>
          </w:tcPr>
          <w:p w14:paraId="42F6D63F" w14:textId="3EE12EC4" w:rsidR="000A4BF0" w:rsidRPr="005A7D49" w:rsidRDefault="000A4BF0" w:rsidP="000A4BF0">
            <w:pPr>
              <w:spacing w:before="0" w:after="0" w:line="240" w:lineRule="auto"/>
              <w:jc w:val="right"/>
              <w:rPr>
                <w:rFonts w:asciiTheme="minorHAnsi" w:hAnsiTheme="minorHAnsi" w:cstheme="minorHAnsi"/>
                <w:sz w:val="18"/>
                <w:szCs w:val="18"/>
              </w:rPr>
            </w:pPr>
            <w:r>
              <w:rPr>
                <w:rFonts w:cs="Arial"/>
                <w:sz w:val="16"/>
                <w:szCs w:val="16"/>
              </w:rPr>
              <w:t>251 653 366</w:t>
            </w:r>
          </w:p>
        </w:tc>
        <w:tc>
          <w:tcPr>
            <w:tcW w:w="1163" w:type="dxa"/>
            <w:shd w:val="clear" w:color="auto" w:fill="auto"/>
            <w:noWrap/>
            <w:vAlign w:val="center"/>
            <w:hideMark/>
          </w:tcPr>
          <w:p w14:paraId="1286104C" w14:textId="5FCBE407"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255 239 016</w:t>
            </w:r>
          </w:p>
        </w:tc>
      </w:tr>
      <w:tr w:rsidR="000A4BF0" w:rsidRPr="00313F9C" w14:paraId="5DA4B259" w14:textId="77777777" w:rsidTr="006D3285">
        <w:trPr>
          <w:trHeight w:val="240"/>
        </w:trPr>
        <w:tc>
          <w:tcPr>
            <w:tcW w:w="3256" w:type="dxa"/>
            <w:shd w:val="clear" w:color="auto" w:fill="DEEAF6" w:themeFill="accent1" w:themeFillTint="33"/>
            <w:noWrap/>
            <w:vAlign w:val="center"/>
            <w:hideMark/>
          </w:tcPr>
          <w:p w14:paraId="7C107FDE"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Zostatková hodnota</w:t>
            </w:r>
          </w:p>
        </w:tc>
        <w:tc>
          <w:tcPr>
            <w:tcW w:w="1162" w:type="dxa"/>
            <w:shd w:val="clear" w:color="auto" w:fill="auto"/>
            <w:noWrap/>
            <w:vAlign w:val="center"/>
            <w:hideMark/>
          </w:tcPr>
          <w:p w14:paraId="20065BB7" w14:textId="2BF7BDA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2EF93CE5" w14:textId="5A348D95"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2AA1E69F" w14:textId="2D287103"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20193BE7" w14:textId="03843871"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3" w:type="dxa"/>
            <w:shd w:val="clear" w:color="auto" w:fill="auto"/>
            <w:noWrap/>
            <w:vAlign w:val="center"/>
            <w:hideMark/>
          </w:tcPr>
          <w:p w14:paraId="031BD41B" w14:textId="0275EAF2" w:rsidR="000A4BF0" w:rsidRPr="001F4096"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r>
      <w:tr w:rsidR="000A4BF0" w:rsidRPr="00313F9C" w14:paraId="45034D0D" w14:textId="77777777" w:rsidTr="006D3285">
        <w:trPr>
          <w:trHeight w:val="240"/>
        </w:trPr>
        <w:tc>
          <w:tcPr>
            <w:tcW w:w="3256" w:type="dxa"/>
            <w:shd w:val="clear" w:color="auto" w:fill="BDD6EE" w:themeFill="accent1" w:themeFillTint="66"/>
            <w:noWrap/>
            <w:vAlign w:val="center"/>
            <w:hideMark/>
          </w:tcPr>
          <w:p w14:paraId="125AF66D" w14:textId="77777777" w:rsidR="000A4BF0" w:rsidRPr="001F4096" w:rsidRDefault="000A4BF0" w:rsidP="000A4BF0">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Čisté peňažné toky</w:t>
            </w:r>
          </w:p>
        </w:tc>
        <w:tc>
          <w:tcPr>
            <w:tcW w:w="1162" w:type="dxa"/>
            <w:shd w:val="clear" w:color="auto" w:fill="BDD6EE" w:themeFill="accent1" w:themeFillTint="66"/>
            <w:noWrap/>
            <w:vAlign w:val="center"/>
            <w:hideMark/>
          </w:tcPr>
          <w:p w14:paraId="46AC61E7" w14:textId="00C2F99E"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149 838 673</w:t>
            </w:r>
          </w:p>
        </w:tc>
        <w:tc>
          <w:tcPr>
            <w:tcW w:w="1162" w:type="dxa"/>
            <w:shd w:val="clear" w:color="auto" w:fill="BDD6EE" w:themeFill="accent1" w:themeFillTint="66"/>
            <w:noWrap/>
            <w:vAlign w:val="center"/>
            <w:hideMark/>
          </w:tcPr>
          <w:p w14:paraId="5E34BE7F" w14:textId="52EEE29D"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175 464 996</w:t>
            </w:r>
          </w:p>
        </w:tc>
        <w:tc>
          <w:tcPr>
            <w:tcW w:w="1162" w:type="dxa"/>
            <w:shd w:val="clear" w:color="auto" w:fill="BDD6EE" w:themeFill="accent1" w:themeFillTint="66"/>
            <w:noWrap/>
            <w:vAlign w:val="center"/>
            <w:hideMark/>
          </w:tcPr>
          <w:p w14:paraId="287CF756" w14:textId="3178850F"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179 409 204</w:t>
            </w:r>
          </w:p>
        </w:tc>
        <w:tc>
          <w:tcPr>
            <w:tcW w:w="1162" w:type="dxa"/>
            <w:shd w:val="clear" w:color="auto" w:fill="BDD6EE" w:themeFill="accent1" w:themeFillTint="66"/>
            <w:noWrap/>
            <w:vAlign w:val="center"/>
            <w:hideMark/>
          </w:tcPr>
          <w:p w14:paraId="5D2978FB" w14:textId="779569FC"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182 348 072</w:t>
            </w:r>
          </w:p>
        </w:tc>
        <w:tc>
          <w:tcPr>
            <w:tcW w:w="1163" w:type="dxa"/>
            <w:shd w:val="clear" w:color="auto" w:fill="BDD6EE" w:themeFill="accent1" w:themeFillTint="66"/>
            <w:noWrap/>
            <w:vAlign w:val="center"/>
            <w:hideMark/>
          </w:tcPr>
          <w:p w14:paraId="1B130DC0" w14:textId="3A0FEB13" w:rsidR="000A4BF0" w:rsidRPr="001F4096"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185 605 430</w:t>
            </w:r>
          </w:p>
        </w:tc>
      </w:tr>
    </w:tbl>
    <w:p w14:paraId="4F2C72E4" w14:textId="77777777" w:rsidR="00717F8B" w:rsidRPr="00A40297" w:rsidRDefault="00717F8B">
      <w:pPr>
        <w:rPr>
          <w:rFonts w:asciiTheme="minorHAnsi" w:hAnsiTheme="minorHAnsi" w:cstheme="minorHAnsi"/>
          <w:sz w:val="10"/>
          <w:szCs w:val="18"/>
        </w:rPr>
      </w:pP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4957"/>
        <w:gridCol w:w="4110"/>
      </w:tblGrid>
      <w:tr w:rsidR="00813B6E" w:rsidRPr="00313F9C" w14:paraId="3DB66279" w14:textId="77777777" w:rsidTr="005A7D49">
        <w:trPr>
          <w:trHeight w:val="240"/>
        </w:trPr>
        <w:tc>
          <w:tcPr>
            <w:tcW w:w="4957" w:type="dxa"/>
            <w:shd w:val="clear" w:color="auto" w:fill="DEEAF6" w:themeFill="accent1" w:themeFillTint="33"/>
            <w:noWrap/>
            <w:vAlign w:val="center"/>
            <w:hideMark/>
          </w:tcPr>
          <w:p w14:paraId="1581A6AD" w14:textId="77777777" w:rsidR="00813B6E" w:rsidRPr="001F4096" w:rsidRDefault="00813B6E" w:rsidP="00813B6E">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Finančná čistá súčasná hodnota kapitálu (FNPV_K)</w:t>
            </w:r>
          </w:p>
        </w:tc>
        <w:tc>
          <w:tcPr>
            <w:tcW w:w="4110" w:type="dxa"/>
            <w:shd w:val="clear" w:color="auto" w:fill="auto"/>
            <w:noWrap/>
            <w:vAlign w:val="bottom"/>
            <w:hideMark/>
          </w:tcPr>
          <w:p w14:paraId="29E3FCF0" w14:textId="6CF49DF9" w:rsidR="00813B6E" w:rsidRPr="001F4096" w:rsidRDefault="00813B6E" w:rsidP="006D3285">
            <w:pPr>
              <w:spacing w:before="0" w:after="0" w:line="240" w:lineRule="auto"/>
              <w:jc w:val="right"/>
              <w:rPr>
                <w:rFonts w:asciiTheme="minorHAnsi" w:hAnsiTheme="minorHAnsi" w:cstheme="minorHAnsi"/>
                <w:sz w:val="18"/>
                <w:szCs w:val="18"/>
              </w:rPr>
            </w:pPr>
            <w:r>
              <w:rPr>
                <w:rFonts w:ascii="Calibri" w:hAnsi="Calibri" w:cs="Calibri"/>
                <w:sz w:val="18"/>
                <w:szCs w:val="18"/>
              </w:rPr>
              <w:t xml:space="preserve">774 </w:t>
            </w:r>
            <w:r w:rsidR="000A4BF0">
              <w:rPr>
                <w:rFonts w:ascii="Calibri" w:hAnsi="Calibri" w:cs="Calibri"/>
                <w:sz w:val="18"/>
                <w:szCs w:val="18"/>
              </w:rPr>
              <w:t xml:space="preserve">223 058 </w:t>
            </w:r>
            <w:r>
              <w:rPr>
                <w:rFonts w:ascii="Calibri" w:hAnsi="Calibri" w:cs="Calibri"/>
                <w:sz w:val="18"/>
                <w:szCs w:val="18"/>
              </w:rPr>
              <w:t xml:space="preserve">Eur </w:t>
            </w:r>
          </w:p>
        </w:tc>
      </w:tr>
      <w:tr w:rsidR="00813B6E" w:rsidRPr="00313F9C" w14:paraId="2CECC95A" w14:textId="77777777" w:rsidTr="005A7D49">
        <w:trPr>
          <w:trHeight w:val="240"/>
        </w:trPr>
        <w:tc>
          <w:tcPr>
            <w:tcW w:w="4957" w:type="dxa"/>
            <w:shd w:val="clear" w:color="auto" w:fill="DEEAF6" w:themeFill="accent1" w:themeFillTint="33"/>
            <w:noWrap/>
            <w:vAlign w:val="center"/>
            <w:hideMark/>
          </w:tcPr>
          <w:p w14:paraId="18EC865D" w14:textId="77777777" w:rsidR="00813B6E" w:rsidRPr="001F4096" w:rsidRDefault="00813B6E" w:rsidP="00813B6E">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Finančné vnútorné výnosové percento kapitálu (FIRR_K)</w:t>
            </w:r>
          </w:p>
        </w:tc>
        <w:tc>
          <w:tcPr>
            <w:tcW w:w="4110" w:type="dxa"/>
            <w:shd w:val="clear" w:color="auto" w:fill="auto"/>
            <w:noWrap/>
            <w:vAlign w:val="bottom"/>
            <w:hideMark/>
          </w:tcPr>
          <w:p w14:paraId="44EB5F6C" w14:textId="7F5D516A" w:rsidR="00813B6E" w:rsidRPr="001F4096" w:rsidRDefault="000A4BF0" w:rsidP="00813B6E">
            <w:pPr>
              <w:spacing w:before="0" w:after="0" w:line="240" w:lineRule="auto"/>
              <w:jc w:val="right"/>
              <w:rPr>
                <w:rFonts w:asciiTheme="minorHAnsi" w:hAnsiTheme="minorHAnsi" w:cstheme="minorHAnsi"/>
                <w:sz w:val="18"/>
                <w:szCs w:val="18"/>
              </w:rPr>
            </w:pPr>
            <w:r>
              <w:rPr>
                <w:rFonts w:ascii="Calibri" w:hAnsi="Calibri" w:cs="Calibri"/>
                <w:sz w:val="18"/>
                <w:szCs w:val="18"/>
              </w:rPr>
              <w:t xml:space="preserve">4505 </w:t>
            </w:r>
            <w:r w:rsidR="00813B6E">
              <w:rPr>
                <w:rFonts w:ascii="Calibri" w:hAnsi="Calibri" w:cs="Calibri"/>
                <w:sz w:val="18"/>
                <w:szCs w:val="18"/>
              </w:rPr>
              <w:t>%</w:t>
            </w:r>
          </w:p>
        </w:tc>
      </w:tr>
    </w:tbl>
    <w:p w14:paraId="5EFE6415" w14:textId="369D90E1" w:rsidR="00717F8B" w:rsidRDefault="002302CC">
      <w:pPr>
        <w:rPr>
          <w:i/>
          <w:sz w:val="16"/>
        </w:rPr>
      </w:pPr>
      <w:r w:rsidRPr="00DA4343">
        <w:rPr>
          <w:i/>
          <w:sz w:val="16"/>
        </w:rPr>
        <w:t xml:space="preserve">Zdroj: Príloha 1, hárok </w:t>
      </w:r>
      <w:r>
        <w:rPr>
          <w:i/>
          <w:sz w:val="16"/>
        </w:rPr>
        <w:t>06</w:t>
      </w:r>
    </w:p>
    <w:p w14:paraId="55CBE732" w14:textId="77777777" w:rsidR="00813B6E" w:rsidRDefault="00813B6E"/>
    <w:p w14:paraId="04BBB394" w14:textId="4CE0E8CB" w:rsidR="00B26080" w:rsidRDefault="00B26080" w:rsidP="00A40297">
      <w:pPr>
        <w:pStyle w:val="Heading4"/>
      </w:pPr>
      <w:r>
        <w:t>Finančná udržateľnosť</w:t>
      </w:r>
    </w:p>
    <w:p w14:paraId="2FE4F20F" w14:textId="6034D267" w:rsidR="00B26080" w:rsidRDefault="00B26080" w:rsidP="00B26080">
      <w:r>
        <w:t xml:space="preserve">Ako bolo uvedené v čl. </w:t>
      </w:r>
      <w:r>
        <w:fldChar w:fldCharType="begin"/>
      </w:r>
      <w:r>
        <w:instrText xml:space="preserve"> REF _Ref72310400 \r \p \h </w:instrText>
      </w:r>
      <w:r>
        <w:fldChar w:fldCharType="separate"/>
      </w:r>
      <w:r w:rsidR="00A86720">
        <w:t>8.2.3 vyššie</w:t>
      </w:r>
      <w:r>
        <w:fldChar w:fldCharType="end"/>
      </w:r>
      <w:r>
        <w:t xml:space="preserve">, financovanie projektu bude zabezpečené z vlastných zdrojov – priamo z vybraného mýta. Neuvažuje sa </w:t>
      </w:r>
      <w:r w:rsidR="00C7419C">
        <w:t>s</w:t>
      </w:r>
      <w:r>
        <w:t xml:space="preserve">o splátkami úverov, ani </w:t>
      </w:r>
      <w:r w:rsidR="00C7419C">
        <w:t>s</w:t>
      </w:r>
      <w:r>
        <w:t> financovaním z fondov EÚ. Projekt je finančne udržateľný a finančná medzera je nulová.</w:t>
      </w:r>
    </w:p>
    <w:p w14:paraId="55419FD9" w14:textId="4B6AF756" w:rsidR="00717F8B" w:rsidRDefault="00717F8B" w:rsidP="00717F8B">
      <w:pPr>
        <w:pStyle w:val="Caption"/>
      </w:pPr>
      <w:r>
        <w:t xml:space="preserve">Tab. </w:t>
      </w:r>
      <w:r>
        <w:fldChar w:fldCharType="begin"/>
      </w:r>
      <w:r>
        <w:instrText xml:space="preserve"> SEQ Tab. \* ARABIC </w:instrText>
      </w:r>
      <w:r>
        <w:fldChar w:fldCharType="separate"/>
      </w:r>
      <w:r w:rsidR="00A86720">
        <w:rPr>
          <w:noProof/>
        </w:rPr>
        <w:t>37</w:t>
      </w:r>
      <w:r>
        <w:fldChar w:fldCharType="end"/>
      </w:r>
      <w:r>
        <w:t xml:space="preserve"> - Finančná udržateľnosť</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56"/>
        <w:gridCol w:w="1162"/>
        <w:gridCol w:w="1162"/>
        <w:gridCol w:w="1162"/>
        <w:gridCol w:w="1162"/>
        <w:gridCol w:w="1163"/>
      </w:tblGrid>
      <w:tr w:rsidR="004B03EA" w:rsidRPr="00313F9C" w14:paraId="4CE306B1" w14:textId="77777777" w:rsidTr="00717F8B">
        <w:trPr>
          <w:trHeight w:val="225"/>
        </w:trPr>
        <w:tc>
          <w:tcPr>
            <w:tcW w:w="3256" w:type="dxa"/>
            <w:shd w:val="clear" w:color="auto" w:fill="BDD6EE" w:themeFill="accent1" w:themeFillTint="66"/>
            <w:noWrap/>
            <w:vAlign w:val="center"/>
            <w:hideMark/>
          </w:tcPr>
          <w:p w14:paraId="3446BE97" w14:textId="477C2A3E" w:rsidR="004B03EA" w:rsidRPr="00CD5120" w:rsidRDefault="00717F8B" w:rsidP="00717F8B">
            <w:pPr>
              <w:spacing w:before="0" w:after="0" w:line="240" w:lineRule="auto"/>
              <w:jc w:val="left"/>
              <w:rPr>
                <w:rFonts w:asciiTheme="minorHAnsi" w:hAnsiTheme="minorHAnsi" w:cstheme="minorHAnsi"/>
                <w:b/>
                <w:bCs/>
                <w:sz w:val="18"/>
                <w:szCs w:val="18"/>
              </w:rPr>
            </w:pPr>
            <w:r w:rsidRPr="00CD5120">
              <w:rPr>
                <w:rFonts w:asciiTheme="minorHAnsi" w:hAnsiTheme="minorHAnsi" w:cstheme="minorHAnsi"/>
                <w:b/>
                <w:bCs/>
                <w:sz w:val="18"/>
                <w:szCs w:val="18"/>
              </w:rPr>
              <w:t xml:space="preserve">6.3 Finančná udržateľnosť </w:t>
            </w:r>
          </w:p>
        </w:tc>
        <w:tc>
          <w:tcPr>
            <w:tcW w:w="1162" w:type="dxa"/>
            <w:shd w:val="clear" w:color="auto" w:fill="BDD6EE" w:themeFill="accent1" w:themeFillTint="66"/>
            <w:noWrap/>
            <w:vAlign w:val="center"/>
            <w:hideMark/>
          </w:tcPr>
          <w:p w14:paraId="190A7190"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2022</w:t>
            </w:r>
          </w:p>
        </w:tc>
        <w:tc>
          <w:tcPr>
            <w:tcW w:w="1162" w:type="dxa"/>
            <w:shd w:val="clear" w:color="auto" w:fill="BDD6EE" w:themeFill="accent1" w:themeFillTint="66"/>
            <w:noWrap/>
            <w:vAlign w:val="center"/>
            <w:hideMark/>
          </w:tcPr>
          <w:p w14:paraId="40B35876"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2023</w:t>
            </w:r>
          </w:p>
        </w:tc>
        <w:tc>
          <w:tcPr>
            <w:tcW w:w="1162" w:type="dxa"/>
            <w:shd w:val="clear" w:color="auto" w:fill="BDD6EE" w:themeFill="accent1" w:themeFillTint="66"/>
            <w:noWrap/>
            <w:vAlign w:val="center"/>
            <w:hideMark/>
          </w:tcPr>
          <w:p w14:paraId="3B5574B8"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2024</w:t>
            </w:r>
          </w:p>
        </w:tc>
        <w:tc>
          <w:tcPr>
            <w:tcW w:w="1162" w:type="dxa"/>
            <w:shd w:val="clear" w:color="auto" w:fill="BDD6EE" w:themeFill="accent1" w:themeFillTint="66"/>
            <w:noWrap/>
            <w:vAlign w:val="center"/>
            <w:hideMark/>
          </w:tcPr>
          <w:p w14:paraId="586B861E"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2025</w:t>
            </w:r>
          </w:p>
        </w:tc>
        <w:tc>
          <w:tcPr>
            <w:tcW w:w="1163" w:type="dxa"/>
            <w:shd w:val="clear" w:color="auto" w:fill="BDD6EE" w:themeFill="accent1" w:themeFillTint="66"/>
            <w:noWrap/>
            <w:vAlign w:val="center"/>
            <w:hideMark/>
          </w:tcPr>
          <w:p w14:paraId="30050D7B" w14:textId="77777777" w:rsidR="004B03EA" w:rsidRPr="00CD5120" w:rsidRDefault="004B03EA" w:rsidP="00717F8B">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2026</w:t>
            </w:r>
          </w:p>
        </w:tc>
      </w:tr>
      <w:tr w:rsidR="00CF4573" w:rsidRPr="00313F9C" w14:paraId="2A414318" w14:textId="77777777" w:rsidTr="00EF1CB7">
        <w:trPr>
          <w:trHeight w:val="225"/>
        </w:trPr>
        <w:tc>
          <w:tcPr>
            <w:tcW w:w="3256" w:type="dxa"/>
            <w:shd w:val="clear" w:color="auto" w:fill="DEEAF6" w:themeFill="accent1" w:themeFillTint="33"/>
            <w:noWrap/>
            <w:vAlign w:val="center"/>
            <w:hideMark/>
          </w:tcPr>
          <w:p w14:paraId="3C849A6E" w14:textId="77777777" w:rsidR="00CF4573" w:rsidRPr="001F4096" w:rsidRDefault="00CF4573" w:rsidP="00CF4573">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Finančné zdroje</w:t>
            </w:r>
          </w:p>
        </w:tc>
        <w:tc>
          <w:tcPr>
            <w:tcW w:w="1162" w:type="dxa"/>
            <w:shd w:val="clear" w:color="auto" w:fill="auto"/>
            <w:noWrap/>
            <w:vAlign w:val="bottom"/>
            <w:hideMark/>
          </w:tcPr>
          <w:p w14:paraId="4625378A" w14:textId="169CD253" w:rsidR="00CF4573" w:rsidRPr="00EF1CB7" w:rsidRDefault="00CF4573" w:rsidP="00CF4573">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0</w:t>
            </w:r>
          </w:p>
        </w:tc>
        <w:tc>
          <w:tcPr>
            <w:tcW w:w="1162" w:type="dxa"/>
            <w:shd w:val="clear" w:color="auto" w:fill="auto"/>
            <w:noWrap/>
            <w:vAlign w:val="center"/>
            <w:hideMark/>
          </w:tcPr>
          <w:p w14:paraId="1CD09136" w14:textId="193D6BC2"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 </w:t>
            </w:r>
          </w:p>
        </w:tc>
        <w:tc>
          <w:tcPr>
            <w:tcW w:w="1162" w:type="dxa"/>
            <w:shd w:val="clear" w:color="auto" w:fill="auto"/>
            <w:noWrap/>
            <w:vAlign w:val="center"/>
            <w:hideMark/>
          </w:tcPr>
          <w:p w14:paraId="085F8390" w14:textId="645BAE64"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 </w:t>
            </w:r>
          </w:p>
        </w:tc>
        <w:tc>
          <w:tcPr>
            <w:tcW w:w="1162" w:type="dxa"/>
            <w:shd w:val="clear" w:color="auto" w:fill="auto"/>
            <w:noWrap/>
            <w:vAlign w:val="center"/>
            <w:hideMark/>
          </w:tcPr>
          <w:p w14:paraId="5346CE9A" w14:textId="2C3E2605"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 </w:t>
            </w:r>
          </w:p>
        </w:tc>
        <w:tc>
          <w:tcPr>
            <w:tcW w:w="1163" w:type="dxa"/>
            <w:shd w:val="clear" w:color="auto" w:fill="auto"/>
            <w:noWrap/>
            <w:vAlign w:val="center"/>
            <w:hideMark/>
          </w:tcPr>
          <w:p w14:paraId="5E70D8FD" w14:textId="674552AC"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 </w:t>
            </w:r>
          </w:p>
        </w:tc>
      </w:tr>
      <w:tr w:rsidR="00CF4573" w:rsidRPr="00313F9C" w14:paraId="4EBA86B2" w14:textId="77777777" w:rsidTr="00EF1CB7">
        <w:trPr>
          <w:trHeight w:val="225"/>
        </w:trPr>
        <w:tc>
          <w:tcPr>
            <w:tcW w:w="3256" w:type="dxa"/>
            <w:shd w:val="clear" w:color="auto" w:fill="DEEAF6" w:themeFill="accent1" w:themeFillTint="33"/>
            <w:noWrap/>
            <w:vAlign w:val="center"/>
            <w:hideMark/>
          </w:tcPr>
          <w:p w14:paraId="24B7B9C0" w14:textId="77777777" w:rsidR="00CF4573" w:rsidRPr="001F4096" w:rsidRDefault="00CF4573" w:rsidP="00CF4573">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Príjmy</w:t>
            </w:r>
          </w:p>
        </w:tc>
        <w:tc>
          <w:tcPr>
            <w:tcW w:w="1162" w:type="dxa"/>
            <w:shd w:val="clear" w:color="auto" w:fill="auto"/>
            <w:noWrap/>
            <w:vAlign w:val="bottom"/>
            <w:hideMark/>
          </w:tcPr>
          <w:p w14:paraId="375DBFE9" w14:textId="69818DEA" w:rsidR="00CF4573" w:rsidRPr="00EF1CB7" w:rsidRDefault="00CF4573" w:rsidP="00CF4573">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233 655 755</w:t>
            </w:r>
          </w:p>
        </w:tc>
        <w:tc>
          <w:tcPr>
            <w:tcW w:w="1162" w:type="dxa"/>
            <w:shd w:val="clear" w:color="auto" w:fill="auto"/>
            <w:noWrap/>
            <w:vAlign w:val="center"/>
            <w:hideMark/>
          </w:tcPr>
          <w:p w14:paraId="22981A39" w14:textId="2A2E2665"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245 504 057</w:t>
            </w:r>
          </w:p>
        </w:tc>
        <w:tc>
          <w:tcPr>
            <w:tcW w:w="1162" w:type="dxa"/>
            <w:shd w:val="clear" w:color="auto" w:fill="auto"/>
            <w:noWrap/>
            <w:vAlign w:val="center"/>
            <w:hideMark/>
          </w:tcPr>
          <w:p w14:paraId="4032C89C" w14:textId="4783C91B"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248 712 141</w:t>
            </w:r>
          </w:p>
        </w:tc>
        <w:tc>
          <w:tcPr>
            <w:tcW w:w="1162" w:type="dxa"/>
            <w:shd w:val="clear" w:color="auto" w:fill="auto"/>
            <w:noWrap/>
            <w:vAlign w:val="center"/>
            <w:hideMark/>
          </w:tcPr>
          <w:p w14:paraId="7746E295" w14:textId="25C6F78A"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251 653 366</w:t>
            </w:r>
          </w:p>
        </w:tc>
        <w:tc>
          <w:tcPr>
            <w:tcW w:w="1163" w:type="dxa"/>
            <w:shd w:val="clear" w:color="auto" w:fill="auto"/>
            <w:noWrap/>
            <w:vAlign w:val="center"/>
            <w:hideMark/>
          </w:tcPr>
          <w:p w14:paraId="756F6D21" w14:textId="5D131DBB" w:rsidR="00CF4573" w:rsidRPr="00EF1CB7" w:rsidRDefault="00CF4573" w:rsidP="00EF1CB7">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255 239 016</w:t>
            </w:r>
          </w:p>
        </w:tc>
      </w:tr>
      <w:tr w:rsidR="00CF4573" w:rsidRPr="00313F9C" w14:paraId="3519FBA9" w14:textId="77777777" w:rsidTr="00EF1CB7">
        <w:trPr>
          <w:trHeight w:val="225"/>
        </w:trPr>
        <w:tc>
          <w:tcPr>
            <w:tcW w:w="3256" w:type="dxa"/>
            <w:shd w:val="clear" w:color="auto" w:fill="BDD6EE" w:themeFill="accent1" w:themeFillTint="66"/>
            <w:noWrap/>
            <w:vAlign w:val="center"/>
            <w:hideMark/>
          </w:tcPr>
          <w:p w14:paraId="64CE304E" w14:textId="77777777" w:rsidR="00CF4573" w:rsidRPr="001F4096" w:rsidRDefault="00CF4573" w:rsidP="00CF4573">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Celkové príjmy</w:t>
            </w:r>
          </w:p>
        </w:tc>
        <w:tc>
          <w:tcPr>
            <w:tcW w:w="1162" w:type="dxa"/>
            <w:shd w:val="clear" w:color="auto" w:fill="BDD6EE" w:themeFill="accent1" w:themeFillTint="66"/>
            <w:noWrap/>
            <w:vAlign w:val="bottom"/>
            <w:hideMark/>
          </w:tcPr>
          <w:p w14:paraId="552011C7" w14:textId="41687C67" w:rsidR="00CF4573" w:rsidRPr="00EF1CB7" w:rsidRDefault="00CF4573" w:rsidP="00CF4573">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233 655 755</w:t>
            </w:r>
          </w:p>
        </w:tc>
        <w:tc>
          <w:tcPr>
            <w:tcW w:w="1162" w:type="dxa"/>
            <w:shd w:val="clear" w:color="auto" w:fill="BDD6EE" w:themeFill="accent1" w:themeFillTint="66"/>
            <w:noWrap/>
            <w:vAlign w:val="center"/>
            <w:hideMark/>
          </w:tcPr>
          <w:p w14:paraId="4A56D948" w14:textId="607963B7" w:rsidR="00CF4573" w:rsidRPr="00EF1CB7" w:rsidRDefault="00CF4573" w:rsidP="00EF1CB7">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245 504 057</w:t>
            </w:r>
          </w:p>
        </w:tc>
        <w:tc>
          <w:tcPr>
            <w:tcW w:w="1162" w:type="dxa"/>
            <w:shd w:val="clear" w:color="auto" w:fill="BDD6EE" w:themeFill="accent1" w:themeFillTint="66"/>
            <w:noWrap/>
            <w:vAlign w:val="center"/>
            <w:hideMark/>
          </w:tcPr>
          <w:p w14:paraId="00DA7EC5" w14:textId="2BF35DB1" w:rsidR="00CF4573" w:rsidRPr="00EF1CB7" w:rsidRDefault="00CF4573" w:rsidP="00EF1CB7">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248 712 141</w:t>
            </w:r>
          </w:p>
        </w:tc>
        <w:tc>
          <w:tcPr>
            <w:tcW w:w="1162" w:type="dxa"/>
            <w:shd w:val="clear" w:color="auto" w:fill="BDD6EE" w:themeFill="accent1" w:themeFillTint="66"/>
            <w:noWrap/>
            <w:vAlign w:val="center"/>
            <w:hideMark/>
          </w:tcPr>
          <w:p w14:paraId="593DF659" w14:textId="325E0C98" w:rsidR="00CF4573" w:rsidRPr="00EF1CB7" w:rsidRDefault="00CF4573" w:rsidP="00EF1CB7">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251 653 366</w:t>
            </w:r>
          </w:p>
        </w:tc>
        <w:tc>
          <w:tcPr>
            <w:tcW w:w="1163" w:type="dxa"/>
            <w:shd w:val="clear" w:color="auto" w:fill="BDD6EE" w:themeFill="accent1" w:themeFillTint="66"/>
            <w:noWrap/>
            <w:vAlign w:val="center"/>
            <w:hideMark/>
          </w:tcPr>
          <w:p w14:paraId="3920A9AC" w14:textId="5D15ED06" w:rsidR="00CF4573" w:rsidRPr="00EF1CB7" w:rsidRDefault="00CF4573" w:rsidP="00EF1CB7">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255 239 016</w:t>
            </w:r>
          </w:p>
        </w:tc>
      </w:tr>
      <w:tr w:rsidR="000A4BF0" w:rsidRPr="00313F9C" w14:paraId="5E511722" w14:textId="77777777" w:rsidTr="006D3285">
        <w:trPr>
          <w:trHeight w:val="225"/>
        </w:trPr>
        <w:tc>
          <w:tcPr>
            <w:tcW w:w="3256" w:type="dxa"/>
            <w:shd w:val="clear" w:color="auto" w:fill="DEEAF6" w:themeFill="accent1" w:themeFillTint="33"/>
            <w:noWrap/>
            <w:vAlign w:val="center"/>
            <w:hideMark/>
          </w:tcPr>
          <w:p w14:paraId="40D84382"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Investičné výdavky</w:t>
            </w:r>
          </w:p>
        </w:tc>
        <w:tc>
          <w:tcPr>
            <w:tcW w:w="1162" w:type="dxa"/>
            <w:shd w:val="clear" w:color="auto" w:fill="auto"/>
            <w:noWrap/>
            <w:vAlign w:val="center"/>
            <w:hideMark/>
          </w:tcPr>
          <w:p w14:paraId="43A2A625" w14:textId="3A09485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162" w:type="dxa"/>
            <w:shd w:val="clear" w:color="auto" w:fill="auto"/>
            <w:noWrap/>
            <w:vAlign w:val="center"/>
            <w:hideMark/>
          </w:tcPr>
          <w:p w14:paraId="51CCC410" w14:textId="112A178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378A85DC" w14:textId="16D5D75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583E1FEA" w14:textId="24B3B02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3" w:type="dxa"/>
            <w:shd w:val="clear" w:color="auto" w:fill="auto"/>
            <w:noWrap/>
            <w:vAlign w:val="center"/>
            <w:hideMark/>
          </w:tcPr>
          <w:p w14:paraId="625B296D" w14:textId="1C7A7A5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313F9C" w14:paraId="521F7B91" w14:textId="77777777" w:rsidTr="006D3285">
        <w:trPr>
          <w:trHeight w:val="225"/>
        </w:trPr>
        <w:tc>
          <w:tcPr>
            <w:tcW w:w="3256" w:type="dxa"/>
            <w:shd w:val="clear" w:color="auto" w:fill="DEEAF6" w:themeFill="accent1" w:themeFillTint="33"/>
            <w:noWrap/>
            <w:vAlign w:val="center"/>
            <w:hideMark/>
          </w:tcPr>
          <w:p w14:paraId="67F159B4"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Prevádzkové výdavky</w:t>
            </w:r>
          </w:p>
        </w:tc>
        <w:tc>
          <w:tcPr>
            <w:tcW w:w="1162" w:type="dxa"/>
            <w:shd w:val="clear" w:color="auto" w:fill="auto"/>
            <w:noWrap/>
            <w:vAlign w:val="center"/>
            <w:hideMark/>
          </w:tcPr>
          <w:p w14:paraId="310B2CE0" w14:textId="21B3A309"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80 404 602</w:t>
            </w:r>
          </w:p>
        </w:tc>
        <w:tc>
          <w:tcPr>
            <w:tcW w:w="1162" w:type="dxa"/>
            <w:shd w:val="clear" w:color="auto" w:fill="auto"/>
            <w:noWrap/>
            <w:vAlign w:val="center"/>
            <w:hideMark/>
          </w:tcPr>
          <w:p w14:paraId="14C56917" w14:textId="038264C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70 039 061</w:t>
            </w:r>
          </w:p>
        </w:tc>
        <w:tc>
          <w:tcPr>
            <w:tcW w:w="1162" w:type="dxa"/>
            <w:shd w:val="clear" w:color="auto" w:fill="auto"/>
            <w:noWrap/>
            <w:vAlign w:val="center"/>
            <w:hideMark/>
          </w:tcPr>
          <w:p w14:paraId="745D576B" w14:textId="3C616F0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69 302 938</w:t>
            </w:r>
          </w:p>
        </w:tc>
        <w:tc>
          <w:tcPr>
            <w:tcW w:w="1162" w:type="dxa"/>
            <w:shd w:val="clear" w:color="auto" w:fill="auto"/>
            <w:noWrap/>
            <w:vAlign w:val="center"/>
            <w:hideMark/>
          </w:tcPr>
          <w:p w14:paraId="3BEF8953" w14:textId="00ED2AA0"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69 305 294</w:t>
            </w:r>
          </w:p>
        </w:tc>
        <w:tc>
          <w:tcPr>
            <w:tcW w:w="1163" w:type="dxa"/>
            <w:shd w:val="clear" w:color="auto" w:fill="auto"/>
            <w:noWrap/>
            <w:vAlign w:val="center"/>
            <w:hideMark/>
          </w:tcPr>
          <w:p w14:paraId="6F740CE4" w14:textId="2588EFC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69 633 586</w:t>
            </w:r>
          </w:p>
        </w:tc>
      </w:tr>
      <w:tr w:rsidR="000A4BF0" w:rsidRPr="00313F9C" w14:paraId="36FCE023" w14:textId="77777777" w:rsidTr="006D3285">
        <w:trPr>
          <w:trHeight w:val="225"/>
        </w:trPr>
        <w:tc>
          <w:tcPr>
            <w:tcW w:w="3256" w:type="dxa"/>
            <w:shd w:val="clear" w:color="auto" w:fill="DEEAF6" w:themeFill="accent1" w:themeFillTint="33"/>
            <w:noWrap/>
            <w:vAlign w:val="center"/>
            <w:hideMark/>
          </w:tcPr>
          <w:p w14:paraId="1CD44384"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Splátky úverov</w:t>
            </w:r>
          </w:p>
        </w:tc>
        <w:tc>
          <w:tcPr>
            <w:tcW w:w="1162" w:type="dxa"/>
            <w:shd w:val="clear" w:color="auto" w:fill="auto"/>
            <w:noWrap/>
            <w:vAlign w:val="center"/>
            <w:hideMark/>
          </w:tcPr>
          <w:p w14:paraId="162EF0A1" w14:textId="1162785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21D20384" w14:textId="09B03E1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10DDAD2E" w14:textId="494A1629"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23498977" w14:textId="3A410E6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3" w:type="dxa"/>
            <w:shd w:val="clear" w:color="auto" w:fill="auto"/>
            <w:noWrap/>
            <w:vAlign w:val="center"/>
            <w:hideMark/>
          </w:tcPr>
          <w:p w14:paraId="572B6635" w14:textId="6CD17B8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313F9C" w14:paraId="576DE325" w14:textId="77777777" w:rsidTr="006D3285">
        <w:trPr>
          <w:trHeight w:val="225"/>
        </w:trPr>
        <w:tc>
          <w:tcPr>
            <w:tcW w:w="3256" w:type="dxa"/>
            <w:shd w:val="clear" w:color="auto" w:fill="BDD6EE" w:themeFill="accent1" w:themeFillTint="66"/>
            <w:noWrap/>
            <w:vAlign w:val="center"/>
            <w:hideMark/>
          </w:tcPr>
          <w:p w14:paraId="1E2F733D" w14:textId="77777777" w:rsidR="000A4BF0" w:rsidRPr="001F4096" w:rsidRDefault="000A4BF0" w:rsidP="000A4BF0">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Celkové výdavky</w:t>
            </w:r>
          </w:p>
        </w:tc>
        <w:tc>
          <w:tcPr>
            <w:tcW w:w="1162" w:type="dxa"/>
            <w:shd w:val="clear" w:color="auto" w:fill="BDD6EE" w:themeFill="accent1" w:themeFillTint="66"/>
            <w:noWrap/>
            <w:vAlign w:val="center"/>
            <w:hideMark/>
          </w:tcPr>
          <w:p w14:paraId="1D649A71" w14:textId="3B7DA1AC"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83 817 082</w:t>
            </w:r>
          </w:p>
        </w:tc>
        <w:tc>
          <w:tcPr>
            <w:tcW w:w="1162" w:type="dxa"/>
            <w:shd w:val="clear" w:color="auto" w:fill="BDD6EE" w:themeFill="accent1" w:themeFillTint="66"/>
            <w:noWrap/>
            <w:vAlign w:val="center"/>
            <w:hideMark/>
          </w:tcPr>
          <w:p w14:paraId="3785AC21" w14:textId="5DB0080B"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70 039 061</w:t>
            </w:r>
          </w:p>
        </w:tc>
        <w:tc>
          <w:tcPr>
            <w:tcW w:w="1162" w:type="dxa"/>
            <w:shd w:val="clear" w:color="auto" w:fill="BDD6EE" w:themeFill="accent1" w:themeFillTint="66"/>
            <w:noWrap/>
            <w:vAlign w:val="center"/>
            <w:hideMark/>
          </w:tcPr>
          <w:p w14:paraId="1E2947FB" w14:textId="45316F8E"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69 302 938</w:t>
            </w:r>
          </w:p>
        </w:tc>
        <w:tc>
          <w:tcPr>
            <w:tcW w:w="1162" w:type="dxa"/>
            <w:shd w:val="clear" w:color="auto" w:fill="BDD6EE" w:themeFill="accent1" w:themeFillTint="66"/>
            <w:noWrap/>
            <w:vAlign w:val="center"/>
            <w:hideMark/>
          </w:tcPr>
          <w:p w14:paraId="30BB216E" w14:textId="14916119"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69 305 294</w:t>
            </w:r>
          </w:p>
        </w:tc>
        <w:tc>
          <w:tcPr>
            <w:tcW w:w="1163" w:type="dxa"/>
            <w:shd w:val="clear" w:color="auto" w:fill="BDD6EE" w:themeFill="accent1" w:themeFillTint="66"/>
            <w:noWrap/>
            <w:vAlign w:val="center"/>
            <w:hideMark/>
          </w:tcPr>
          <w:p w14:paraId="15FE4A1C" w14:textId="2846ACA3"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69 633 586</w:t>
            </w:r>
          </w:p>
        </w:tc>
      </w:tr>
      <w:tr w:rsidR="000A4BF0" w:rsidRPr="00313F9C" w14:paraId="6B06AECD" w14:textId="77777777" w:rsidTr="006D3285">
        <w:trPr>
          <w:trHeight w:val="240"/>
        </w:trPr>
        <w:tc>
          <w:tcPr>
            <w:tcW w:w="3256" w:type="dxa"/>
            <w:shd w:val="clear" w:color="auto" w:fill="DEEAF6" w:themeFill="accent1" w:themeFillTint="33"/>
            <w:noWrap/>
            <w:vAlign w:val="center"/>
            <w:hideMark/>
          </w:tcPr>
          <w:p w14:paraId="2DAFED84" w14:textId="77777777" w:rsidR="000A4BF0" w:rsidRPr="001F4096" w:rsidRDefault="000A4BF0" w:rsidP="000A4BF0">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Celkové peňažné toky</w:t>
            </w:r>
          </w:p>
        </w:tc>
        <w:tc>
          <w:tcPr>
            <w:tcW w:w="1162" w:type="dxa"/>
            <w:shd w:val="clear" w:color="auto" w:fill="auto"/>
            <w:noWrap/>
            <w:vAlign w:val="center"/>
            <w:hideMark/>
          </w:tcPr>
          <w:p w14:paraId="5137AA15" w14:textId="3A59B7A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149 838 673</w:t>
            </w:r>
          </w:p>
        </w:tc>
        <w:tc>
          <w:tcPr>
            <w:tcW w:w="1162" w:type="dxa"/>
            <w:shd w:val="clear" w:color="auto" w:fill="auto"/>
            <w:noWrap/>
            <w:vAlign w:val="center"/>
            <w:hideMark/>
          </w:tcPr>
          <w:p w14:paraId="5F84CC42" w14:textId="1EE7D56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175 464 996</w:t>
            </w:r>
          </w:p>
        </w:tc>
        <w:tc>
          <w:tcPr>
            <w:tcW w:w="1162" w:type="dxa"/>
            <w:shd w:val="clear" w:color="auto" w:fill="auto"/>
            <w:noWrap/>
            <w:vAlign w:val="center"/>
            <w:hideMark/>
          </w:tcPr>
          <w:p w14:paraId="049CD7A6" w14:textId="118B5C0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179 409 204</w:t>
            </w:r>
          </w:p>
        </w:tc>
        <w:tc>
          <w:tcPr>
            <w:tcW w:w="1162" w:type="dxa"/>
            <w:shd w:val="clear" w:color="auto" w:fill="auto"/>
            <w:noWrap/>
            <w:vAlign w:val="center"/>
            <w:hideMark/>
          </w:tcPr>
          <w:p w14:paraId="10099C5A" w14:textId="2A574F0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182 348 072</w:t>
            </w:r>
          </w:p>
        </w:tc>
        <w:tc>
          <w:tcPr>
            <w:tcW w:w="1163" w:type="dxa"/>
            <w:shd w:val="clear" w:color="auto" w:fill="auto"/>
            <w:noWrap/>
            <w:vAlign w:val="center"/>
            <w:hideMark/>
          </w:tcPr>
          <w:p w14:paraId="5BBFE024" w14:textId="7280172F"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185 605 430</w:t>
            </w:r>
          </w:p>
        </w:tc>
      </w:tr>
      <w:tr w:rsidR="000A4BF0" w:rsidRPr="00313F9C" w14:paraId="056E4C91" w14:textId="77777777" w:rsidTr="006D3285">
        <w:trPr>
          <w:trHeight w:val="240"/>
        </w:trPr>
        <w:tc>
          <w:tcPr>
            <w:tcW w:w="3256" w:type="dxa"/>
            <w:shd w:val="clear" w:color="auto" w:fill="BDD6EE" w:themeFill="accent1" w:themeFillTint="66"/>
            <w:noWrap/>
            <w:vAlign w:val="center"/>
            <w:hideMark/>
          </w:tcPr>
          <w:p w14:paraId="7A6CD39F" w14:textId="77777777" w:rsidR="000A4BF0" w:rsidRPr="001F4096" w:rsidRDefault="000A4BF0" w:rsidP="000A4BF0">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Kumulovaný čistý peňažný tok</w:t>
            </w:r>
          </w:p>
        </w:tc>
        <w:tc>
          <w:tcPr>
            <w:tcW w:w="1162" w:type="dxa"/>
            <w:shd w:val="clear" w:color="auto" w:fill="BDD6EE" w:themeFill="accent1" w:themeFillTint="66"/>
            <w:noWrap/>
            <w:vAlign w:val="center"/>
            <w:hideMark/>
          </w:tcPr>
          <w:p w14:paraId="3BFF835B" w14:textId="37065D2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149 838 673</w:t>
            </w:r>
          </w:p>
        </w:tc>
        <w:tc>
          <w:tcPr>
            <w:tcW w:w="1162" w:type="dxa"/>
            <w:shd w:val="clear" w:color="auto" w:fill="BDD6EE" w:themeFill="accent1" w:themeFillTint="66"/>
            <w:noWrap/>
            <w:vAlign w:val="center"/>
            <w:hideMark/>
          </w:tcPr>
          <w:p w14:paraId="545F18FE" w14:textId="0A2FD35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325 303 669</w:t>
            </w:r>
          </w:p>
        </w:tc>
        <w:tc>
          <w:tcPr>
            <w:tcW w:w="1162" w:type="dxa"/>
            <w:shd w:val="clear" w:color="auto" w:fill="BDD6EE" w:themeFill="accent1" w:themeFillTint="66"/>
            <w:noWrap/>
            <w:vAlign w:val="center"/>
            <w:hideMark/>
          </w:tcPr>
          <w:p w14:paraId="5F4EA76E" w14:textId="67CAAED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504 712 873</w:t>
            </w:r>
          </w:p>
        </w:tc>
        <w:tc>
          <w:tcPr>
            <w:tcW w:w="1162" w:type="dxa"/>
            <w:shd w:val="clear" w:color="auto" w:fill="BDD6EE" w:themeFill="accent1" w:themeFillTint="66"/>
            <w:noWrap/>
            <w:vAlign w:val="center"/>
            <w:hideMark/>
          </w:tcPr>
          <w:p w14:paraId="677A1B06" w14:textId="65A1E42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687 060 945</w:t>
            </w:r>
          </w:p>
        </w:tc>
        <w:tc>
          <w:tcPr>
            <w:tcW w:w="1163" w:type="dxa"/>
            <w:shd w:val="clear" w:color="auto" w:fill="BDD6EE" w:themeFill="accent1" w:themeFillTint="66"/>
            <w:noWrap/>
            <w:vAlign w:val="center"/>
            <w:hideMark/>
          </w:tcPr>
          <w:p w14:paraId="526B9CE1" w14:textId="0EBA0CD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872 666 375</w:t>
            </w:r>
          </w:p>
        </w:tc>
      </w:tr>
    </w:tbl>
    <w:p w14:paraId="4E7E97ED" w14:textId="6E6B7743" w:rsidR="00B26080" w:rsidRDefault="002302CC">
      <w:pPr>
        <w:spacing w:before="0" w:after="0" w:line="240" w:lineRule="auto"/>
        <w:jc w:val="left"/>
        <w:rPr>
          <w:i/>
          <w:sz w:val="16"/>
        </w:rPr>
      </w:pPr>
      <w:r w:rsidRPr="00DA4343">
        <w:rPr>
          <w:i/>
          <w:sz w:val="16"/>
        </w:rPr>
        <w:t xml:space="preserve">Zdroj: Príloha 1, hárok </w:t>
      </w:r>
      <w:r>
        <w:rPr>
          <w:i/>
          <w:sz w:val="16"/>
        </w:rPr>
        <w:t>06</w:t>
      </w:r>
    </w:p>
    <w:p w14:paraId="276BC161" w14:textId="478CC580" w:rsidR="003C67FC" w:rsidRDefault="003C67FC">
      <w:pPr>
        <w:spacing w:before="0" w:after="0" w:line="240" w:lineRule="auto"/>
        <w:jc w:val="left"/>
      </w:pPr>
    </w:p>
    <w:p w14:paraId="7E81A6D3" w14:textId="1D26E674" w:rsidR="000A4BF0" w:rsidRDefault="000A4BF0">
      <w:pPr>
        <w:spacing w:before="0" w:after="0" w:line="240" w:lineRule="auto"/>
        <w:jc w:val="left"/>
      </w:pPr>
    </w:p>
    <w:p w14:paraId="7863B7B2" w14:textId="3C12400B" w:rsidR="000A4BF0" w:rsidRDefault="000A4BF0">
      <w:pPr>
        <w:spacing w:before="0" w:after="0" w:line="240" w:lineRule="auto"/>
        <w:jc w:val="left"/>
      </w:pPr>
      <w:r>
        <w:br w:type="page"/>
      </w:r>
    </w:p>
    <w:p w14:paraId="1B28B930" w14:textId="5BB1B0CD" w:rsidR="00BC7853" w:rsidRDefault="0095790F" w:rsidP="00A40297">
      <w:pPr>
        <w:pStyle w:val="Heading2"/>
      </w:pPr>
      <w:bookmarkStart w:id="151" w:name="_Toc87348750"/>
      <w:r>
        <w:lastRenderedPageBreak/>
        <w:t>Finančná analýza – Variant 2</w:t>
      </w:r>
      <w:bookmarkEnd w:id="151"/>
    </w:p>
    <w:p w14:paraId="5FFC3EEC" w14:textId="77777777" w:rsidR="005A7D49" w:rsidRDefault="005A7D49" w:rsidP="00A40297">
      <w:pPr>
        <w:pStyle w:val="Heading3"/>
      </w:pPr>
      <w:bookmarkStart w:id="152" w:name="_Toc87348751"/>
      <w:r>
        <w:t>Výdavky</w:t>
      </w:r>
      <w:bookmarkEnd w:id="152"/>
    </w:p>
    <w:p w14:paraId="6B06D027" w14:textId="3F277FC8" w:rsidR="005A7D49" w:rsidRDefault="005A7D49" w:rsidP="005A7D49">
      <w:r>
        <w:t xml:space="preserve">Model výdavkov je zostavený na základe rozboru nákladov variantu 2, uvedeného v čl. </w:t>
      </w:r>
      <w:r>
        <w:fldChar w:fldCharType="begin"/>
      </w:r>
      <w:r>
        <w:instrText xml:space="preserve"> REF _Ref72244912 \r \p \h </w:instrText>
      </w:r>
      <w:r>
        <w:fldChar w:fldCharType="separate"/>
      </w:r>
      <w:r w:rsidR="00A86720">
        <w:t>4.3.2 vyššie</w:t>
      </w:r>
      <w:r>
        <w:fldChar w:fldCharType="end"/>
      </w:r>
      <w:r>
        <w:t>.</w:t>
      </w:r>
    </w:p>
    <w:p w14:paraId="7F6C61FF" w14:textId="77777777" w:rsidR="005A7D49" w:rsidRDefault="005A7D49" w:rsidP="00A40297">
      <w:pPr>
        <w:pStyle w:val="Heading4"/>
      </w:pPr>
      <w:r>
        <w:t>Investičné náklady</w:t>
      </w:r>
    </w:p>
    <w:p w14:paraId="7BF88153" w14:textId="3D62E938"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38</w:t>
      </w:r>
      <w:r>
        <w:fldChar w:fldCharType="end"/>
      </w:r>
      <w:r>
        <w:t xml:space="preserve"> - Investičné náklady</w:t>
      </w:r>
      <w:r w:rsidR="00054ADE">
        <w:t xml:space="preserve"> variantu 2</w:t>
      </w:r>
    </w:p>
    <w:tbl>
      <w:tblPr>
        <w:tblW w:w="9219"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66"/>
        <w:gridCol w:w="992"/>
        <w:gridCol w:w="992"/>
        <w:gridCol w:w="992"/>
        <w:gridCol w:w="992"/>
        <w:gridCol w:w="992"/>
        <w:gridCol w:w="993"/>
      </w:tblGrid>
      <w:tr w:rsidR="005A7D49" w:rsidRPr="00313F9C" w14:paraId="3D3E0754" w14:textId="77777777" w:rsidTr="00A40297">
        <w:trPr>
          <w:trHeight w:val="225"/>
        </w:trPr>
        <w:tc>
          <w:tcPr>
            <w:tcW w:w="3266" w:type="dxa"/>
            <w:tcBorders>
              <w:top w:val="single" w:sz="4" w:space="0" w:color="7F7F7F" w:themeColor="text1" w:themeTint="80"/>
            </w:tcBorders>
            <w:shd w:val="clear" w:color="auto" w:fill="BDD6EE" w:themeFill="accent1" w:themeFillTint="66"/>
            <w:noWrap/>
            <w:vAlign w:val="center"/>
            <w:hideMark/>
          </w:tcPr>
          <w:p w14:paraId="07863994" w14:textId="77777777" w:rsidR="005A7D49" w:rsidRPr="009814B7" w:rsidRDefault="005A7D49" w:rsidP="00C81C52">
            <w:pPr>
              <w:spacing w:before="0" w:after="0" w:line="240" w:lineRule="auto"/>
              <w:jc w:val="left"/>
              <w:rPr>
                <w:rFonts w:asciiTheme="minorHAnsi" w:hAnsiTheme="minorHAnsi" w:cstheme="minorHAnsi"/>
                <w:b/>
                <w:bCs/>
                <w:sz w:val="18"/>
                <w:szCs w:val="18"/>
              </w:rPr>
            </w:pPr>
            <w:r w:rsidRPr="009814B7">
              <w:rPr>
                <w:rFonts w:asciiTheme="minorHAnsi" w:hAnsiTheme="minorHAnsi" w:cstheme="minorHAnsi"/>
                <w:b/>
                <w:bCs/>
                <w:sz w:val="18"/>
                <w:szCs w:val="18"/>
              </w:rPr>
              <w:t>1.1 Investičné náklady (EUR) - finančné</w:t>
            </w:r>
          </w:p>
        </w:tc>
        <w:tc>
          <w:tcPr>
            <w:tcW w:w="992" w:type="dxa"/>
            <w:tcBorders>
              <w:top w:val="single" w:sz="4" w:space="0" w:color="7F7F7F" w:themeColor="text1" w:themeTint="80"/>
            </w:tcBorders>
            <w:shd w:val="clear" w:color="auto" w:fill="BDD6EE" w:themeFill="accent1" w:themeFillTint="66"/>
            <w:noWrap/>
            <w:vAlign w:val="center"/>
            <w:hideMark/>
          </w:tcPr>
          <w:p w14:paraId="435B8FF3" w14:textId="77777777" w:rsidR="005A7D49" w:rsidRPr="009814B7" w:rsidRDefault="005A7D49" w:rsidP="005A7D49">
            <w:pPr>
              <w:spacing w:before="0" w:after="0" w:line="240" w:lineRule="auto"/>
              <w:jc w:val="center"/>
              <w:rPr>
                <w:rFonts w:asciiTheme="minorHAnsi" w:hAnsiTheme="minorHAnsi" w:cstheme="minorHAnsi"/>
                <w:b/>
                <w:bCs/>
                <w:sz w:val="18"/>
                <w:szCs w:val="18"/>
              </w:rPr>
            </w:pPr>
            <w:r w:rsidRPr="009814B7">
              <w:rPr>
                <w:rFonts w:asciiTheme="minorHAnsi" w:hAnsiTheme="minorHAnsi" w:cstheme="minorHAnsi"/>
                <w:bCs/>
                <w:sz w:val="18"/>
                <w:szCs w:val="18"/>
              </w:rPr>
              <w:t>Celkom</w:t>
            </w:r>
          </w:p>
        </w:tc>
        <w:tc>
          <w:tcPr>
            <w:tcW w:w="992" w:type="dxa"/>
            <w:shd w:val="clear" w:color="auto" w:fill="BDD6EE" w:themeFill="accent1" w:themeFillTint="66"/>
            <w:noWrap/>
            <w:vAlign w:val="center"/>
            <w:hideMark/>
          </w:tcPr>
          <w:p w14:paraId="2AAE250F" w14:textId="77777777" w:rsidR="005A7D49" w:rsidRPr="009814B7" w:rsidRDefault="005A7D49" w:rsidP="005A7D4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2022</w:t>
            </w:r>
          </w:p>
        </w:tc>
        <w:tc>
          <w:tcPr>
            <w:tcW w:w="992" w:type="dxa"/>
            <w:shd w:val="clear" w:color="auto" w:fill="BDD6EE" w:themeFill="accent1" w:themeFillTint="66"/>
            <w:noWrap/>
            <w:vAlign w:val="center"/>
            <w:hideMark/>
          </w:tcPr>
          <w:p w14:paraId="75D08ABC" w14:textId="77777777" w:rsidR="005A7D49" w:rsidRPr="009814B7" w:rsidRDefault="005A7D49" w:rsidP="005A7D4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2023</w:t>
            </w:r>
          </w:p>
        </w:tc>
        <w:tc>
          <w:tcPr>
            <w:tcW w:w="992" w:type="dxa"/>
            <w:shd w:val="clear" w:color="auto" w:fill="BDD6EE" w:themeFill="accent1" w:themeFillTint="66"/>
            <w:noWrap/>
            <w:vAlign w:val="center"/>
            <w:hideMark/>
          </w:tcPr>
          <w:p w14:paraId="5C6749C7" w14:textId="77777777" w:rsidR="005A7D49" w:rsidRPr="009814B7" w:rsidRDefault="005A7D49" w:rsidP="005A7D4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2024</w:t>
            </w:r>
          </w:p>
        </w:tc>
        <w:tc>
          <w:tcPr>
            <w:tcW w:w="992" w:type="dxa"/>
            <w:shd w:val="clear" w:color="auto" w:fill="BDD6EE" w:themeFill="accent1" w:themeFillTint="66"/>
            <w:noWrap/>
            <w:vAlign w:val="center"/>
            <w:hideMark/>
          </w:tcPr>
          <w:p w14:paraId="01863E53" w14:textId="77777777" w:rsidR="005A7D49" w:rsidRPr="009814B7" w:rsidRDefault="005A7D49" w:rsidP="005A7D4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2025</w:t>
            </w:r>
          </w:p>
        </w:tc>
        <w:tc>
          <w:tcPr>
            <w:tcW w:w="993" w:type="dxa"/>
            <w:shd w:val="clear" w:color="auto" w:fill="BDD6EE" w:themeFill="accent1" w:themeFillTint="66"/>
            <w:noWrap/>
            <w:vAlign w:val="center"/>
            <w:hideMark/>
          </w:tcPr>
          <w:p w14:paraId="1611A044" w14:textId="77777777" w:rsidR="005A7D49" w:rsidRPr="009814B7" w:rsidRDefault="005A7D49" w:rsidP="005A7D49">
            <w:pPr>
              <w:spacing w:before="0" w:after="0" w:line="240" w:lineRule="auto"/>
              <w:jc w:val="center"/>
              <w:rPr>
                <w:rFonts w:asciiTheme="minorHAnsi" w:hAnsiTheme="minorHAnsi" w:cstheme="minorHAnsi"/>
                <w:iCs/>
                <w:sz w:val="18"/>
                <w:szCs w:val="18"/>
              </w:rPr>
            </w:pPr>
            <w:r w:rsidRPr="009814B7">
              <w:rPr>
                <w:rFonts w:asciiTheme="minorHAnsi" w:hAnsiTheme="minorHAnsi" w:cstheme="minorHAnsi"/>
                <w:iCs/>
                <w:sz w:val="18"/>
                <w:szCs w:val="18"/>
              </w:rPr>
              <w:t>2026</w:t>
            </w:r>
          </w:p>
        </w:tc>
      </w:tr>
      <w:tr w:rsidR="000A4BF0" w:rsidRPr="00313F9C" w14:paraId="4F29B88E" w14:textId="77777777" w:rsidTr="00A40297">
        <w:trPr>
          <w:trHeight w:val="225"/>
        </w:trPr>
        <w:tc>
          <w:tcPr>
            <w:tcW w:w="3266" w:type="dxa"/>
            <w:shd w:val="clear" w:color="auto" w:fill="DEEAF6" w:themeFill="accent1" w:themeFillTint="33"/>
            <w:noWrap/>
            <w:vAlign w:val="center"/>
            <w:hideMark/>
          </w:tcPr>
          <w:p w14:paraId="0FABF075"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Plánovacie/projektové poplatky</w:t>
            </w:r>
          </w:p>
        </w:tc>
        <w:tc>
          <w:tcPr>
            <w:tcW w:w="992" w:type="dxa"/>
            <w:shd w:val="clear" w:color="auto" w:fill="auto"/>
            <w:noWrap/>
            <w:vAlign w:val="center"/>
            <w:hideMark/>
          </w:tcPr>
          <w:p w14:paraId="52346682" w14:textId="128BBD85"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3F4D774C" w14:textId="15F2653F"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19E671EF"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38AD90B4"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759509AD"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71A12C34"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6B4EC2BC" w14:textId="77777777" w:rsidTr="00A40297">
        <w:trPr>
          <w:trHeight w:val="225"/>
        </w:trPr>
        <w:tc>
          <w:tcPr>
            <w:tcW w:w="3266" w:type="dxa"/>
            <w:shd w:val="clear" w:color="auto" w:fill="DEEAF6" w:themeFill="accent1" w:themeFillTint="33"/>
            <w:noWrap/>
            <w:vAlign w:val="center"/>
            <w:hideMark/>
          </w:tcPr>
          <w:p w14:paraId="0E9A0E8F"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Výkup pozemkov</w:t>
            </w:r>
          </w:p>
        </w:tc>
        <w:tc>
          <w:tcPr>
            <w:tcW w:w="992" w:type="dxa"/>
            <w:shd w:val="clear" w:color="auto" w:fill="auto"/>
            <w:noWrap/>
            <w:vAlign w:val="center"/>
            <w:hideMark/>
          </w:tcPr>
          <w:p w14:paraId="472D37CD" w14:textId="0F22D1C5"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2CC281A0" w14:textId="45D628AA"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3CF39BE9"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8B109BE"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ACF9E87"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3A019F73"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0E87B323" w14:textId="77777777" w:rsidTr="00A40297">
        <w:trPr>
          <w:trHeight w:val="225"/>
        </w:trPr>
        <w:tc>
          <w:tcPr>
            <w:tcW w:w="3266" w:type="dxa"/>
            <w:shd w:val="clear" w:color="auto" w:fill="DEEAF6" w:themeFill="accent1" w:themeFillTint="33"/>
            <w:noWrap/>
            <w:vAlign w:val="center"/>
            <w:hideMark/>
          </w:tcPr>
          <w:p w14:paraId="47919CD5"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Príprava staveniska</w:t>
            </w:r>
          </w:p>
        </w:tc>
        <w:tc>
          <w:tcPr>
            <w:tcW w:w="992" w:type="dxa"/>
            <w:shd w:val="clear" w:color="auto" w:fill="auto"/>
            <w:noWrap/>
            <w:vAlign w:val="center"/>
            <w:hideMark/>
          </w:tcPr>
          <w:p w14:paraId="383A7F01" w14:textId="43E2E124"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37272B38" w14:textId="71E404AE"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74B1E5B9"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67C6D700"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2331150"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0C2BFCA3"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32D1EA81" w14:textId="77777777" w:rsidTr="00A40297">
        <w:trPr>
          <w:trHeight w:val="225"/>
        </w:trPr>
        <w:tc>
          <w:tcPr>
            <w:tcW w:w="3266" w:type="dxa"/>
            <w:shd w:val="clear" w:color="auto" w:fill="DEEAF6" w:themeFill="accent1" w:themeFillTint="33"/>
            <w:noWrap/>
            <w:vAlign w:val="center"/>
            <w:hideMark/>
          </w:tcPr>
          <w:p w14:paraId="06F008DB"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Zemné práce</w:t>
            </w:r>
          </w:p>
        </w:tc>
        <w:tc>
          <w:tcPr>
            <w:tcW w:w="992" w:type="dxa"/>
            <w:shd w:val="clear" w:color="auto" w:fill="auto"/>
            <w:noWrap/>
            <w:vAlign w:val="center"/>
            <w:hideMark/>
          </w:tcPr>
          <w:p w14:paraId="41906372" w14:textId="539488E9"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hideMark/>
          </w:tcPr>
          <w:p w14:paraId="5B43D47E" w14:textId="04553CAC"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43BDBEF"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17714AD3"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705042D0"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52200E50"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7A5D567E" w14:textId="77777777" w:rsidTr="00A40297">
        <w:trPr>
          <w:trHeight w:val="225"/>
        </w:trPr>
        <w:tc>
          <w:tcPr>
            <w:tcW w:w="3266" w:type="dxa"/>
            <w:shd w:val="clear" w:color="auto" w:fill="DEEAF6" w:themeFill="accent1" w:themeFillTint="33"/>
            <w:noWrap/>
            <w:vAlign w:val="center"/>
            <w:hideMark/>
          </w:tcPr>
          <w:p w14:paraId="3A1E2FBB"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Stavebné práce</w:t>
            </w:r>
          </w:p>
        </w:tc>
        <w:tc>
          <w:tcPr>
            <w:tcW w:w="992" w:type="dxa"/>
            <w:shd w:val="clear" w:color="auto" w:fill="auto"/>
            <w:noWrap/>
            <w:vAlign w:val="center"/>
            <w:hideMark/>
          </w:tcPr>
          <w:p w14:paraId="3319DCBF" w14:textId="550546C9"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92" w:type="dxa"/>
            <w:shd w:val="clear" w:color="auto" w:fill="auto"/>
            <w:noWrap/>
            <w:vAlign w:val="center"/>
          </w:tcPr>
          <w:p w14:paraId="02364DA1"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tcPr>
          <w:p w14:paraId="784CBC7A"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tcPr>
          <w:p w14:paraId="32E78DDC"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tcPr>
          <w:p w14:paraId="7839ECF0"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3" w:type="dxa"/>
            <w:shd w:val="clear" w:color="auto" w:fill="auto"/>
            <w:noWrap/>
            <w:vAlign w:val="center"/>
          </w:tcPr>
          <w:p w14:paraId="61439FFB" w14:textId="77777777" w:rsidR="000A4BF0" w:rsidRPr="005A7D49" w:rsidRDefault="000A4BF0" w:rsidP="000A4BF0">
            <w:pPr>
              <w:spacing w:before="0" w:after="0" w:line="240" w:lineRule="auto"/>
              <w:jc w:val="right"/>
              <w:rPr>
                <w:rFonts w:asciiTheme="minorHAnsi" w:hAnsiTheme="minorHAnsi" w:cstheme="minorHAnsi"/>
                <w:sz w:val="18"/>
                <w:szCs w:val="18"/>
              </w:rPr>
            </w:pPr>
          </w:p>
        </w:tc>
      </w:tr>
      <w:tr w:rsidR="000A4BF0" w:rsidRPr="00313F9C" w14:paraId="11C5EDAF" w14:textId="77777777" w:rsidTr="00EF1CB7">
        <w:trPr>
          <w:trHeight w:val="225"/>
        </w:trPr>
        <w:tc>
          <w:tcPr>
            <w:tcW w:w="3266" w:type="dxa"/>
            <w:shd w:val="clear" w:color="auto" w:fill="DEEAF6" w:themeFill="accent1" w:themeFillTint="33"/>
            <w:noWrap/>
            <w:vAlign w:val="center"/>
            <w:hideMark/>
          </w:tcPr>
          <w:p w14:paraId="69CC18B5"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Technológia a zariadenia</w:t>
            </w:r>
          </w:p>
        </w:tc>
        <w:tc>
          <w:tcPr>
            <w:tcW w:w="992" w:type="dxa"/>
            <w:shd w:val="clear" w:color="auto" w:fill="auto"/>
            <w:noWrap/>
            <w:vAlign w:val="center"/>
            <w:hideMark/>
          </w:tcPr>
          <w:p w14:paraId="55DCB830" w14:textId="46795E9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3 177 268</w:t>
            </w:r>
          </w:p>
        </w:tc>
        <w:tc>
          <w:tcPr>
            <w:tcW w:w="992" w:type="dxa"/>
            <w:shd w:val="clear" w:color="auto" w:fill="auto"/>
            <w:noWrap/>
            <w:vAlign w:val="center"/>
            <w:hideMark/>
          </w:tcPr>
          <w:p w14:paraId="0F92DA83" w14:textId="73F93BA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3 177 268</w:t>
            </w:r>
          </w:p>
        </w:tc>
        <w:tc>
          <w:tcPr>
            <w:tcW w:w="992" w:type="dxa"/>
            <w:shd w:val="clear" w:color="auto" w:fill="auto"/>
            <w:noWrap/>
            <w:vAlign w:val="center"/>
          </w:tcPr>
          <w:p w14:paraId="0FD59B99"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10BF056A"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0B3F7C44"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1D8EFE7E"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3762BCD9" w14:textId="77777777" w:rsidTr="00EF1CB7">
        <w:trPr>
          <w:trHeight w:val="225"/>
        </w:trPr>
        <w:tc>
          <w:tcPr>
            <w:tcW w:w="3266" w:type="dxa"/>
            <w:shd w:val="clear" w:color="auto" w:fill="DEEAF6" w:themeFill="accent1" w:themeFillTint="33"/>
            <w:noWrap/>
            <w:vAlign w:val="center"/>
            <w:hideMark/>
          </w:tcPr>
          <w:p w14:paraId="713C181B"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Dozor</w:t>
            </w:r>
          </w:p>
        </w:tc>
        <w:tc>
          <w:tcPr>
            <w:tcW w:w="992" w:type="dxa"/>
            <w:shd w:val="clear" w:color="auto" w:fill="auto"/>
            <w:noWrap/>
            <w:vAlign w:val="center"/>
            <w:hideMark/>
          </w:tcPr>
          <w:p w14:paraId="2975B33B" w14:textId="3B71A79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92" w:type="dxa"/>
            <w:shd w:val="clear" w:color="auto" w:fill="auto"/>
            <w:noWrap/>
            <w:vAlign w:val="center"/>
            <w:hideMark/>
          </w:tcPr>
          <w:p w14:paraId="236995CF" w14:textId="123741DF"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992" w:type="dxa"/>
            <w:shd w:val="clear" w:color="auto" w:fill="auto"/>
            <w:noWrap/>
            <w:vAlign w:val="center"/>
          </w:tcPr>
          <w:p w14:paraId="24A4E298"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6495A421"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BC667B2"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6584EC1B"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313F9C" w14:paraId="53E6566F" w14:textId="77777777" w:rsidTr="00EF1CB7">
        <w:trPr>
          <w:trHeight w:val="225"/>
        </w:trPr>
        <w:tc>
          <w:tcPr>
            <w:tcW w:w="3266" w:type="dxa"/>
            <w:shd w:val="clear" w:color="auto" w:fill="DEEAF6" w:themeFill="accent1" w:themeFillTint="33"/>
            <w:noWrap/>
            <w:vAlign w:val="center"/>
            <w:hideMark/>
          </w:tcPr>
          <w:p w14:paraId="61F3A008"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Iné služby (Technická pomoc, Publicita, Externé riadenie)</w:t>
            </w:r>
          </w:p>
        </w:tc>
        <w:tc>
          <w:tcPr>
            <w:tcW w:w="992" w:type="dxa"/>
            <w:shd w:val="clear" w:color="auto" w:fill="auto"/>
            <w:noWrap/>
            <w:vAlign w:val="center"/>
            <w:hideMark/>
          </w:tcPr>
          <w:p w14:paraId="5A4F2C85" w14:textId="6CE6BEB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168 300</w:t>
            </w:r>
          </w:p>
        </w:tc>
        <w:tc>
          <w:tcPr>
            <w:tcW w:w="992" w:type="dxa"/>
            <w:shd w:val="clear" w:color="auto" w:fill="auto"/>
            <w:noWrap/>
            <w:vAlign w:val="center"/>
            <w:hideMark/>
          </w:tcPr>
          <w:p w14:paraId="2A6BCD73" w14:textId="6B2F168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168 300</w:t>
            </w:r>
          </w:p>
        </w:tc>
        <w:tc>
          <w:tcPr>
            <w:tcW w:w="992" w:type="dxa"/>
            <w:shd w:val="clear" w:color="auto" w:fill="auto"/>
            <w:noWrap/>
            <w:vAlign w:val="center"/>
          </w:tcPr>
          <w:p w14:paraId="04B5742C"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403662B9"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01762987"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2D23DD1C"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A40297" w14:paraId="4CEE88D1" w14:textId="77777777" w:rsidTr="00EF1CB7">
        <w:trPr>
          <w:trHeight w:val="225"/>
        </w:trPr>
        <w:tc>
          <w:tcPr>
            <w:tcW w:w="3266" w:type="dxa"/>
            <w:shd w:val="clear" w:color="auto" w:fill="BDD6EE" w:themeFill="accent1" w:themeFillTint="66"/>
            <w:vAlign w:val="center"/>
            <w:hideMark/>
          </w:tcPr>
          <w:p w14:paraId="468ECECE" w14:textId="77777777" w:rsidR="000A4BF0" w:rsidRPr="00A40297" w:rsidRDefault="000A4BF0" w:rsidP="000A4BF0">
            <w:pPr>
              <w:spacing w:before="0" w:after="0" w:line="240" w:lineRule="auto"/>
              <w:jc w:val="left"/>
              <w:rPr>
                <w:rFonts w:asciiTheme="minorHAnsi" w:hAnsiTheme="minorHAnsi" w:cstheme="minorHAnsi"/>
                <w:b/>
                <w:bCs/>
                <w:sz w:val="18"/>
                <w:szCs w:val="18"/>
              </w:rPr>
            </w:pPr>
            <w:r w:rsidRPr="00A40297">
              <w:rPr>
                <w:rFonts w:asciiTheme="minorHAnsi" w:hAnsiTheme="minorHAnsi" w:cstheme="minorHAnsi"/>
                <w:b/>
                <w:bCs/>
                <w:sz w:val="18"/>
                <w:szCs w:val="18"/>
              </w:rPr>
              <w:t>Celkové investičné náklady bez rezervy na nepredvídané výdavky, bez DPH</w:t>
            </w:r>
          </w:p>
        </w:tc>
        <w:tc>
          <w:tcPr>
            <w:tcW w:w="992" w:type="dxa"/>
            <w:shd w:val="clear" w:color="auto" w:fill="BDD6EE" w:themeFill="accent1" w:themeFillTint="66"/>
            <w:vAlign w:val="center"/>
            <w:hideMark/>
          </w:tcPr>
          <w:p w14:paraId="6FA09B56" w14:textId="087FD46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3 345 568</w:t>
            </w:r>
          </w:p>
        </w:tc>
        <w:tc>
          <w:tcPr>
            <w:tcW w:w="992" w:type="dxa"/>
            <w:shd w:val="clear" w:color="auto" w:fill="BDD6EE" w:themeFill="accent1" w:themeFillTint="66"/>
            <w:vAlign w:val="center"/>
            <w:hideMark/>
          </w:tcPr>
          <w:p w14:paraId="7F741EA9" w14:textId="2B03E5B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3 345 568</w:t>
            </w:r>
          </w:p>
        </w:tc>
        <w:tc>
          <w:tcPr>
            <w:tcW w:w="992" w:type="dxa"/>
            <w:shd w:val="clear" w:color="auto" w:fill="BDD6EE" w:themeFill="accent1" w:themeFillTint="66"/>
            <w:vAlign w:val="center"/>
          </w:tcPr>
          <w:p w14:paraId="24C9334E"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vAlign w:val="center"/>
            <w:hideMark/>
          </w:tcPr>
          <w:p w14:paraId="55C1FF31"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vAlign w:val="center"/>
            <w:hideMark/>
          </w:tcPr>
          <w:p w14:paraId="0E67DC10"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3" w:type="dxa"/>
            <w:shd w:val="clear" w:color="auto" w:fill="BDD6EE" w:themeFill="accent1" w:themeFillTint="66"/>
            <w:vAlign w:val="center"/>
            <w:hideMark/>
          </w:tcPr>
          <w:p w14:paraId="4171FC72"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r>
      <w:tr w:rsidR="000A4BF0" w:rsidRPr="00313F9C" w14:paraId="04554675" w14:textId="77777777" w:rsidTr="00EF1CB7">
        <w:trPr>
          <w:trHeight w:val="225"/>
        </w:trPr>
        <w:tc>
          <w:tcPr>
            <w:tcW w:w="3266" w:type="dxa"/>
            <w:shd w:val="clear" w:color="auto" w:fill="DEEAF6" w:themeFill="accent1" w:themeFillTint="33"/>
            <w:noWrap/>
            <w:vAlign w:val="center"/>
            <w:hideMark/>
          </w:tcPr>
          <w:p w14:paraId="760386E0"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Rezerva na nepredvídané výdavky</w:t>
            </w:r>
          </w:p>
        </w:tc>
        <w:tc>
          <w:tcPr>
            <w:tcW w:w="992" w:type="dxa"/>
            <w:shd w:val="clear" w:color="auto" w:fill="auto"/>
            <w:noWrap/>
            <w:vAlign w:val="center"/>
            <w:hideMark/>
          </w:tcPr>
          <w:p w14:paraId="005A2E20" w14:textId="4F902160"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66 911</w:t>
            </w:r>
          </w:p>
        </w:tc>
        <w:tc>
          <w:tcPr>
            <w:tcW w:w="992" w:type="dxa"/>
            <w:shd w:val="clear" w:color="auto" w:fill="auto"/>
            <w:noWrap/>
            <w:vAlign w:val="center"/>
            <w:hideMark/>
          </w:tcPr>
          <w:p w14:paraId="1EA820B9" w14:textId="675D4AC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66 911</w:t>
            </w:r>
          </w:p>
        </w:tc>
        <w:tc>
          <w:tcPr>
            <w:tcW w:w="992" w:type="dxa"/>
            <w:shd w:val="clear" w:color="auto" w:fill="auto"/>
            <w:noWrap/>
            <w:vAlign w:val="center"/>
          </w:tcPr>
          <w:p w14:paraId="32FC1B4C"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0CAFFC6B"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6734520"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1F2FB591"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A40297" w14:paraId="3DD07F14" w14:textId="77777777" w:rsidTr="00EF1CB7">
        <w:trPr>
          <w:trHeight w:val="225"/>
        </w:trPr>
        <w:tc>
          <w:tcPr>
            <w:tcW w:w="3266" w:type="dxa"/>
            <w:shd w:val="clear" w:color="auto" w:fill="BDD6EE" w:themeFill="accent1" w:themeFillTint="66"/>
            <w:vAlign w:val="center"/>
            <w:hideMark/>
          </w:tcPr>
          <w:p w14:paraId="567CB49E" w14:textId="77777777" w:rsidR="000A4BF0" w:rsidRPr="00A40297" w:rsidRDefault="000A4BF0" w:rsidP="000A4BF0">
            <w:pPr>
              <w:spacing w:before="0" w:after="0" w:line="240" w:lineRule="auto"/>
              <w:jc w:val="left"/>
              <w:rPr>
                <w:rFonts w:asciiTheme="minorHAnsi" w:hAnsiTheme="minorHAnsi" w:cstheme="minorHAnsi"/>
                <w:b/>
                <w:bCs/>
                <w:sz w:val="18"/>
                <w:szCs w:val="18"/>
              </w:rPr>
            </w:pPr>
            <w:r w:rsidRPr="00A40297">
              <w:rPr>
                <w:rFonts w:asciiTheme="minorHAnsi" w:hAnsiTheme="minorHAnsi" w:cstheme="minorHAnsi"/>
                <w:b/>
                <w:bCs/>
                <w:sz w:val="18"/>
                <w:szCs w:val="18"/>
              </w:rPr>
              <w:t>Celkové investičné náklady vrátane rezervy na nepredvídané výdavky</w:t>
            </w:r>
          </w:p>
        </w:tc>
        <w:tc>
          <w:tcPr>
            <w:tcW w:w="992" w:type="dxa"/>
            <w:shd w:val="clear" w:color="auto" w:fill="BDD6EE" w:themeFill="accent1" w:themeFillTint="66"/>
            <w:noWrap/>
            <w:vAlign w:val="center"/>
            <w:hideMark/>
          </w:tcPr>
          <w:p w14:paraId="092A017F" w14:textId="010B55AC"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3 412 479</w:t>
            </w:r>
          </w:p>
        </w:tc>
        <w:tc>
          <w:tcPr>
            <w:tcW w:w="992" w:type="dxa"/>
            <w:shd w:val="clear" w:color="auto" w:fill="BDD6EE" w:themeFill="accent1" w:themeFillTint="66"/>
            <w:noWrap/>
            <w:vAlign w:val="center"/>
            <w:hideMark/>
          </w:tcPr>
          <w:p w14:paraId="2B880E6C" w14:textId="2AE247A1"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3 412 479</w:t>
            </w:r>
          </w:p>
        </w:tc>
        <w:tc>
          <w:tcPr>
            <w:tcW w:w="992" w:type="dxa"/>
            <w:shd w:val="clear" w:color="auto" w:fill="BDD6EE" w:themeFill="accent1" w:themeFillTint="66"/>
            <w:noWrap/>
            <w:vAlign w:val="center"/>
          </w:tcPr>
          <w:p w14:paraId="1D9E224C"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56968803"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67ECC317"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3" w:type="dxa"/>
            <w:shd w:val="clear" w:color="auto" w:fill="BDD6EE" w:themeFill="accent1" w:themeFillTint="66"/>
            <w:noWrap/>
            <w:vAlign w:val="center"/>
            <w:hideMark/>
          </w:tcPr>
          <w:p w14:paraId="010527B2"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r>
      <w:tr w:rsidR="000A4BF0" w:rsidRPr="00313F9C" w14:paraId="359A15E6" w14:textId="77777777" w:rsidTr="00EF1CB7">
        <w:trPr>
          <w:trHeight w:val="225"/>
        </w:trPr>
        <w:tc>
          <w:tcPr>
            <w:tcW w:w="3266" w:type="dxa"/>
            <w:shd w:val="clear" w:color="auto" w:fill="DEEAF6" w:themeFill="accent1" w:themeFillTint="33"/>
            <w:noWrap/>
            <w:vAlign w:val="center"/>
            <w:hideMark/>
          </w:tcPr>
          <w:p w14:paraId="02A7EA94"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DPH</w:t>
            </w:r>
          </w:p>
        </w:tc>
        <w:tc>
          <w:tcPr>
            <w:tcW w:w="992" w:type="dxa"/>
            <w:shd w:val="clear" w:color="auto" w:fill="auto"/>
            <w:noWrap/>
            <w:vAlign w:val="center"/>
            <w:hideMark/>
          </w:tcPr>
          <w:p w14:paraId="7EDED334" w14:textId="45E2C26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682 496</w:t>
            </w:r>
          </w:p>
        </w:tc>
        <w:tc>
          <w:tcPr>
            <w:tcW w:w="992" w:type="dxa"/>
            <w:shd w:val="clear" w:color="auto" w:fill="auto"/>
            <w:noWrap/>
            <w:vAlign w:val="center"/>
            <w:hideMark/>
          </w:tcPr>
          <w:p w14:paraId="45596EE0" w14:textId="2748E9B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682 496</w:t>
            </w:r>
          </w:p>
        </w:tc>
        <w:tc>
          <w:tcPr>
            <w:tcW w:w="992" w:type="dxa"/>
            <w:shd w:val="clear" w:color="auto" w:fill="auto"/>
            <w:noWrap/>
            <w:vAlign w:val="center"/>
          </w:tcPr>
          <w:p w14:paraId="12FF5108" w14:textId="77777777" w:rsidR="000A4BF0" w:rsidRPr="005A7D49" w:rsidRDefault="000A4BF0" w:rsidP="000A4BF0">
            <w:pPr>
              <w:spacing w:before="0" w:after="0" w:line="240" w:lineRule="auto"/>
              <w:jc w:val="right"/>
              <w:rPr>
                <w:rFonts w:asciiTheme="minorHAnsi" w:hAnsiTheme="minorHAnsi" w:cstheme="minorHAnsi"/>
                <w:sz w:val="18"/>
                <w:szCs w:val="18"/>
              </w:rPr>
            </w:pPr>
          </w:p>
        </w:tc>
        <w:tc>
          <w:tcPr>
            <w:tcW w:w="992" w:type="dxa"/>
            <w:shd w:val="clear" w:color="auto" w:fill="auto"/>
            <w:noWrap/>
            <w:vAlign w:val="center"/>
            <w:hideMark/>
          </w:tcPr>
          <w:p w14:paraId="67D46896"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2" w:type="dxa"/>
            <w:shd w:val="clear" w:color="auto" w:fill="auto"/>
            <w:noWrap/>
            <w:vAlign w:val="center"/>
            <w:hideMark/>
          </w:tcPr>
          <w:p w14:paraId="5ABD23AC"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93" w:type="dxa"/>
            <w:shd w:val="clear" w:color="auto" w:fill="auto"/>
            <w:noWrap/>
            <w:vAlign w:val="center"/>
            <w:hideMark/>
          </w:tcPr>
          <w:p w14:paraId="250E6DE1" w14:textId="77777777" w:rsidR="000A4BF0" w:rsidRPr="005A7D49" w:rsidRDefault="000A4BF0" w:rsidP="000A4BF0">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0A4BF0" w:rsidRPr="00A40297" w14:paraId="6A231C75" w14:textId="77777777" w:rsidTr="00EF1CB7">
        <w:trPr>
          <w:trHeight w:val="225"/>
        </w:trPr>
        <w:tc>
          <w:tcPr>
            <w:tcW w:w="3266" w:type="dxa"/>
            <w:shd w:val="clear" w:color="auto" w:fill="BDD6EE" w:themeFill="accent1" w:themeFillTint="66"/>
            <w:noWrap/>
            <w:vAlign w:val="center"/>
            <w:hideMark/>
          </w:tcPr>
          <w:p w14:paraId="7346E521" w14:textId="77777777" w:rsidR="000A4BF0" w:rsidRPr="00A40297" w:rsidRDefault="000A4BF0" w:rsidP="000A4BF0">
            <w:pPr>
              <w:spacing w:before="0" w:after="0" w:line="240" w:lineRule="auto"/>
              <w:jc w:val="left"/>
              <w:rPr>
                <w:rFonts w:asciiTheme="minorHAnsi" w:hAnsiTheme="minorHAnsi" w:cstheme="minorHAnsi"/>
                <w:b/>
                <w:bCs/>
                <w:sz w:val="18"/>
                <w:szCs w:val="18"/>
              </w:rPr>
            </w:pPr>
            <w:r w:rsidRPr="00A40297">
              <w:rPr>
                <w:rFonts w:asciiTheme="minorHAnsi" w:hAnsiTheme="minorHAnsi" w:cstheme="minorHAnsi"/>
                <w:b/>
                <w:bCs/>
                <w:sz w:val="18"/>
                <w:szCs w:val="18"/>
              </w:rPr>
              <w:t>Celkové investičné náklady vrátane DPH</w:t>
            </w:r>
          </w:p>
        </w:tc>
        <w:tc>
          <w:tcPr>
            <w:tcW w:w="992" w:type="dxa"/>
            <w:shd w:val="clear" w:color="auto" w:fill="BDD6EE" w:themeFill="accent1" w:themeFillTint="66"/>
            <w:noWrap/>
            <w:vAlign w:val="center"/>
            <w:hideMark/>
          </w:tcPr>
          <w:p w14:paraId="01D11542" w14:textId="333B9A47"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4 094 975</w:t>
            </w:r>
          </w:p>
        </w:tc>
        <w:tc>
          <w:tcPr>
            <w:tcW w:w="992" w:type="dxa"/>
            <w:shd w:val="clear" w:color="auto" w:fill="BDD6EE" w:themeFill="accent1" w:themeFillTint="66"/>
            <w:noWrap/>
            <w:vAlign w:val="center"/>
            <w:hideMark/>
          </w:tcPr>
          <w:p w14:paraId="4D29389A" w14:textId="109A6C7D"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4 094 975</w:t>
            </w:r>
          </w:p>
        </w:tc>
        <w:tc>
          <w:tcPr>
            <w:tcW w:w="992" w:type="dxa"/>
            <w:shd w:val="clear" w:color="auto" w:fill="BDD6EE" w:themeFill="accent1" w:themeFillTint="66"/>
            <w:noWrap/>
            <w:vAlign w:val="center"/>
          </w:tcPr>
          <w:p w14:paraId="416D4B8E"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18F86EBD"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2" w:type="dxa"/>
            <w:shd w:val="clear" w:color="auto" w:fill="BDD6EE" w:themeFill="accent1" w:themeFillTint="66"/>
            <w:noWrap/>
            <w:vAlign w:val="center"/>
            <w:hideMark/>
          </w:tcPr>
          <w:p w14:paraId="0DBD0E92"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c>
          <w:tcPr>
            <w:tcW w:w="993" w:type="dxa"/>
            <w:shd w:val="clear" w:color="auto" w:fill="BDD6EE" w:themeFill="accent1" w:themeFillTint="66"/>
            <w:noWrap/>
            <w:vAlign w:val="center"/>
            <w:hideMark/>
          </w:tcPr>
          <w:p w14:paraId="28E4BC93" w14:textId="77777777" w:rsidR="000A4BF0" w:rsidRPr="00A40297" w:rsidRDefault="000A4BF0" w:rsidP="000A4BF0">
            <w:pPr>
              <w:spacing w:before="0" w:after="0" w:line="240" w:lineRule="auto"/>
              <w:jc w:val="right"/>
              <w:rPr>
                <w:rFonts w:asciiTheme="minorHAnsi" w:hAnsiTheme="minorHAnsi" w:cstheme="minorHAnsi"/>
                <w:b/>
                <w:bCs/>
                <w:sz w:val="18"/>
                <w:szCs w:val="18"/>
              </w:rPr>
            </w:pPr>
            <w:r w:rsidRPr="00A40297">
              <w:rPr>
                <w:rFonts w:asciiTheme="minorHAnsi" w:hAnsiTheme="minorHAnsi" w:cstheme="minorHAnsi"/>
                <w:b/>
                <w:bCs/>
                <w:sz w:val="18"/>
                <w:szCs w:val="18"/>
              </w:rPr>
              <w:t>0</w:t>
            </w:r>
          </w:p>
        </w:tc>
      </w:tr>
    </w:tbl>
    <w:p w14:paraId="6007922A" w14:textId="1B7C94D2" w:rsidR="005A7D49" w:rsidRPr="00DA4343" w:rsidRDefault="005A7D49" w:rsidP="005A7D49">
      <w:pPr>
        <w:rPr>
          <w:i/>
          <w:sz w:val="16"/>
        </w:rPr>
      </w:pPr>
      <w:r w:rsidRPr="00DA4343">
        <w:rPr>
          <w:i/>
          <w:sz w:val="16"/>
        </w:rPr>
        <w:t xml:space="preserve">Zdroj: Príloha </w:t>
      </w:r>
      <w:r w:rsidR="00054ADE">
        <w:rPr>
          <w:i/>
          <w:sz w:val="16"/>
        </w:rPr>
        <w:t>2</w:t>
      </w:r>
      <w:r w:rsidRPr="00DA4343">
        <w:rPr>
          <w:i/>
          <w:sz w:val="16"/>
        </w:rPr>
        <w:t>, hárok 01</w:t>
      </w:r>
    </w:p>
    <w:p w14:paraId="1D7F310C" w14:textId="77777777" w:rsidR="005A7D49" w:rsidRDefault="005A7D49" w:rsidP="005A7D49">
      <w:r>
        <w:t xml:space="preserve">Rezerva na nepredvídané výdavky bola stanovená odhadom vo výške 2 % z celkovej sumy investičných nákladov. </w:t>
      </w:r>
    </w:p>
    <w:p w14:paraId="3843BDA9" w14:textId="77777777" w:rsidR="005A7D49" w:rsidRDefault="005A7D49" w:rsidP="00A40297">
      <w:pPr>
        <w:pStyle w:val="Heading4"/>
      </w:pPr>
      <w:r>
        <w:t>Zostatková hodnota</w:t>
      </w:r>
    </w:p>
    <w:p w14:paraId="19CFD45D" w14:textId="77777777" w:rsidR="005A7D49" w:rsidRDefault="005A7D49" w:rsidP="005A7D49">
      <w:r>
        <w:t>Realizácia projektu zahŕňa implementáciu IKT technológií s životnosťou 5 rokov. Počas referenčného obdobia v trvaní 5 rokov sa neuvažuje s výmenou technologických zariadení.</w:t>
      </w:r>
    </w:p>
    <w:p w14:paraId="5512B0B3" w14:textId="77777777" w:rsidR="005A7D49" w:rsidRDefault="005A7D49" w:rsidP="005A7D49">
      <w:r>
        <w:t>Na konci referenčného obdobia bude zostatková hodnota IKT technológií nulová.</w:t>
      </w:r>
    </w:p>
    <w:p w14:paraId="479B75B4" w14:textId="3CF747FB"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39</w:t>
      </w:r>
      <w:r>
        <w:fldChar w:fldCharType="end"/>
      </w:r>
      <w:r>
        <w:t xml:space="preserve"> - Zostatková hodnota</w:t>
      </w:r>
    </w:p>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7088"/>
        <w:gridCol w:w="2126"/>
      </w:tblGrid>
      <w:tr w:rsidR="005A7D49" w:rsidRPr="00260FF6" w14:paraId="2AE4D1E4" w14:textId="77777777" w:rsidTr="005A7D49">
        <w:trPr>
          <w:trHeight w:val="240"/>
        </w:trPr>
        <w:tc>
          <w:tcPr>
            <w:tcW w:w="9214" w:type="dxa"/>
            <w:gridSpan w:val="2"/>
            <w:shd w:val="clear" w:color="auto" w:fill="BDD6EE" w:themeFill="accent1" w:themeFillTint="66"/>
            <w:noWrap/>
            <w:vAlign w:val="bottom"/>
          </w:tcPr>
          <w:p w14:paraId="31FF5175" w14:textId="77777777" w:rsidR="005A7D49" w:rsidRPr="00260FF6" w:rsidRDefault="005A7D49" w:rsidP="005A7D49">
            <w:pPr>
              <w:spacing w:before="0" w:after="0" w:line="240" w:lineRule="auto"/>
              <w:rPr>
                <w:rFonts w:asciiTheme="minorHAnsi" w:hAnsiTheme="minorHAnsi" w:cs="Arial"/>
                <w:b/>
                <w:bCs/>
                <w:sz w:val="18"/>
                <w:szCs w:val="16"/>
              </w:rPr>
            </w:pPr>
            <w:r w:rsidRPr="00260FF6">
              <w:rPr>
                <w:rFonts w:asciiTheme="minorHAnsi" w:hAnsiTheme="minorHAnsi" w:cs="Arial"/>
                <w:b/>
                <w:bCs/>
                <w:sz w:val="18"/>
                <w:szCs w:val="16"/>
              </w:rPr>
              <w:t>2.2 Zostatková hodnota ako čistá súčasná hodnota peňažnýc</w:t>
            </w:r>
            <w:r w:rsidRPr="00260FF6">
              <w:rPr>
                <w:rFonts w:asciiTheme="minorHAnsi" w:hAnsiTheme="minorHAnsi" w:cs="Arial"/>
                <w:b/>
                <w:bCs/>
                <w:sz w:val="18"/>
                <w:szCs w:val="16"/>
                <w:shd w:val="clear" w:color="auto" w:fill="BDD6EE" w:themeFill="accent1" w:themeFillTint="66"/>
              </w:rPr>
              <w:t>h tokov zostávajúcej životnosti po uplynutí referenčného obdobia</w:t>
            </w:r>
          </w:p>
        </w:tc>
      </w:tr>
      <w:tr w:rsidR="005A7D49" w:rsidRPr="00260FF6" w14:paraId="644CAF36" w14:textId="77777777" w:rsidTr="005A7D49">
        <w:trPr>
          <w:trHeight w:val="240"/>
        </w:trPr>
        <w:tc>
          <w:tcPr>
            <w:tcW w:w="7088" w:type="dxa"/>
            <w:shd w:val="clear" w:color="auto" w:fill="DEEAF6" w:themeFill="accent1" w:themeFillTint="33"/>
            <w:noWrap/>
            <w:vAlign w:val="bottom"/>
            <w:hideMark/>
          </w:tcPr>
          <w:p w14:paraId="2754F03F" w14:textId="77777777" w:rsidR="005A7D49" w:rsidRPr="00260FF6" w:rsidRDefault="005A7D49" w:rsidP="005A7D49">
            <w:pPr>
              <w:spacing w:before="0" w:after="0" w:line="240" w:lineRule="auto"/>
              <w:jc w:val="left"/>
              <w:rPr>
                <w:rFonts w:asciiTheme="minorHAnsi" w:hAnsiTheme="minorHAnsi" w:cs="Arial"/>
                <w:sz w:val="18"/>
                <w:szCs w:val="16"/>
              </w:rPr>
            </w:pPr>
            <w:r w:rsidRPr="00260FF6">
              <w:rPr>
                <w:rFonts w:asciiTheme="minorHAnsi" w:hAnsiTheme="minorHAnsi" w:cs="Arial"/>
                <w:sz w:val="18"/>
                <w:szCs w:val="16"/>
              </w:rPr>
              <w:t>Zostatková hodnota na základe finančných peňažných toko</w:t>
            </w:r>
            <w:r>
              <w:rPr>
                <w:rFonts w:asciiTheme="minorHAnsi" w:hAnsiTheme="minorHAnsi" w:cs="Arial"/>
                <w:sz w:val="18"/>
                <w:szCs w:val="16"/>
              </w:rPr>
              <w:t>v</w:t>
            </w:r>
            <w:r w:rsidRPr="00260FF6">
              <w:rPr>
                <w:rFonts w:asciiTheme="minorHAnsi" w:hAnsiTheme="minorHAnsi" w:cs="Arial"/>
                <w:sz w:val="18"/>
                <w:szCs w:val="16"/>
              </w:rPr>
              <w:t xml:space="preserve"> </w:t>
            </w:r>
          </w:p>
        </w:tc>
        <w:tc>
          <w:tcPr>
            <w:tcW w:w="2126" w:type="dxa"/>
            <w:shd w:val="clear" w:color="auto" w:fill="auto"/>
            <w:noWrap/>
            <w:vAlign w:val="bottom"/>
            <w:hideMark/>
          </w:tcPr>
          <w:p w14:paraId="00916141" w14:textId="77777777" w:rsidR="005A7D49" w:rsidRPr="00260FF6" w:rsidRDefault="005A7D49" w:rsidP="005A7D49">
            <w:pPr>
              <w:spacing w:before="0" w:after="0" w:line="240" w:lineRule="auto"/>
              <w:jc w:val="right"/>
              <w:rPr>
                <w:rFonts w:asciiTheme="minorHAnsi" w:hAnsiTheme="minorHAnsi" w:cs="Arial"/>
                <w:b/>
                <w:bCs/>
                <w:sz w:val="18"/>
                <w:szCs w:val="16"/>
              </w:rPr>
            </w:pPr>
            <w:r w:rsidRPr="00260FF6">
              <w:rPr>
                <w:rFonts w:asciiTheme="minorHAnsi" w:hAnsiTheme="minorHAnsi" w:cs="Arial"/>
                <w:b/>
                <w:bCs/>
                <w:sz w:val="18"/>
                <w:szCs w:val="16"/>
              </w:rPr>
              <w:t>0</w:t>
            </w:r>
          </w:p>
        </w:tc>
      </w:tr>
      <w:tr w:rsidR="005A7D49" w:rsidRPr="00260FF6" w14:paraId="77D41960" w14:textId="77777777" w:rsidTr="005A7D49">
        <w:trPr>
          <w:trHeight w:val="240"/>
        </w:trPr>
        <w:tc>
          <w:tcPr>
            <w:tcW w:w="7088" w:type="dxa"/>
            <w:shd w:val="clear" w:color="auto" w:fill="DEEAF6" w:themeFill="accent1" w:themeFillTint="33"/>
            <w:noWrap/>
            <w:vAlign w:val="bottom"/>
            <w:hideMark/>
          </w:tcPr>
          <w:p w14:paraId="6CEA9816" w14:textId="77777777" w:rsidR="005A7D49" w:rsidRPr="00260FF6" w:rsidRDefault="005A7D49" w:rsidP="005A7D49">
            <w:pPr>
              <w:spacing w:before="0" w:after="0" w:line="240" w:lineRule="auto"/>
              <w:jc w:val="left"/>
              <w:rPr>
                <w:rFonts w:asciiTheme="minorHAnsi" w:hAnsiTheme="minorHAnsi" w:cs="Arial"/>
                <w:sz w:val="18"/>
                <w:szCs w:val="16"/>
              </w:rPr>
            </w:pPr>
            <w:r w:rsidRPr="00260FF6">
              <w:rPr>
                <w:rFonts w:asciiTheme="minorHAnsi" w:hAnsiTheme="minorHAnsi" w:cs="Arial"/>
                <w:sz w:val="18"/>
                <w:szCs w:val="16"/>
              </w:rPr>
              <w:t>Zostatková hodnota na základe socio-ekonomických peňažných toko</w:t>
            </w:r>
            <w:r>
              <w:rPr>
                <w:rFonts w:asciiTheme="minorHAnsi" w:hAnsiTheme="minorHAnsi" w:cs="Arial"/>
                <w:sz w:val="18"/>
                <w:szCs w:val="16"/>
              </w:rPr>
              <w:t>v</w:t>
            </w:r>
          </w:p>
        </w:tc>
        <w:tc>
          <w:tcPr>
            <w:tcW w:w="2126" w:type="dxa"/>
            <w:shd w:val="clear" w:color="auto" w:fill="auto"/>
            <w:noWrap/>
            <w:vAlign w:val="bottom"/>
            <w:hideMark/>
          </w:tcPr>
          <w:p w14:paraId="7ED977C1" w14:textId="77777777" w:rsidR="005A7D49" w:rsidRPr="00260FF6" w:rsidRDefault="005A7D49" w:rsidP="005A7D49">
            <w:pPr>
              <w:spacing w:before="0" w:after="0" w:line="240" w:lineRule="auto"/>
              <w:jc w:val="right"/>
              <w:rPr>
                <w:rFonts w:asciiTheme="minorHAnsi" w:hAnsiTheme="minorHAnsi" w:cs="Arial"/>
                <w:sz w:val="18"/>
                <w:szCs w:val="16"/>
              </w:rPr>
            </w:pPr>
            <w:r>
              <w:rPr>
                <w:rFonts w:asciiTheme="minorHAnsi" w:hAnsiTheme="minorHAnsi" w:cs="Arial"/>
                <w:sz w:val="18"/>
                <w:szCs w:val="16"/>
              </w:rPr>
              <w:t>0</w:t>
            </w:r>
          </w:p>
        </w:tc>
      </w:tr>
    </w:tbl>
    <w:p w14:paraId="1EDE783B" w14:textId="1565F503" w:rsidR="005A7D49" w:rsidRDefault="005A7D49" w:rsidP="005A7D49">
      <w:pPr>
        <w:rPr>
          <w:i/>
          <w:sz w:val="16"/>
        </w:rPr>
      </w:pPr>
      <w:r w:rsidRPr="00DA4343">
        <w:rPr>
          <w:i/>
          <w:sz w:val="16"/>
        </w:rPr>
        <w:t xml:space="preserve">Zdroj: Príloha </w:t>
      </w:r>
      <w:r w:rsidR="00054ADE">
        <w:rPr>
          <w:i/>
          <w:sz w:val="16"/>
        </w:rPr>
        <w:t>2</w:t>
      </w:r>
      <w:r w:rsidRPr="00DA4343">
        <w:rPr>
          <w:i/>
          <w:sz w:val="16"/>
        </w:rPr>
        <w:t>, hárok 0</w:t>
      </w:r>
      <w:r>
        <w:rPr>
          <w:i/>
          <w:sz w:val="16"/>
        </w:rPr>
        <w:t>2</w:t>
      </w:r>
    </w:p>
    <w:p w14:paraId="28A34C3B" w14:textId="77777777" w:rsidR="005A7D49" w:rsidRDefault="005A7D49" w:rsidP="00A40297">
      <w:pPr>
        <w:pStyle w:val="Heading4"/>
      </w:pPr>
      <w:r>
        <w:t>Prevádzkové výdavky</w:t>
      </w:r>
    </w:p>
    <w:p w14:paraId="1BB03E4A" w14:textId="5E658B75" w:rsidR="005A7D49" w:rsidRDefault="005A7D49" w:rsidP="005A7D49">
      <w:r>
        <w:t xml:space="preserve">Model výdavkov je zostavený na základe rozboru nákladov variantu 2, uvedeného v čl. </w:t>
      </w:r>
      <w:r>
        <w:fldChar w:fldCharType="begin"/>
      </w:r>
      <w:r>
        <w:instrText xml:space="preserve"> REF _Ref72244912 \r \p \h </w:instrText>
      </w:r>
      <w:r>
        <w:fldChar w:fldCharType="separate"/>
      </w:r>
      <w:r w:rsidR="00A86720">
        <w:t>4.3.2 vyššie</w:t>
      </w:r>
      <w:r>
        <w:fldChar w:fldCharType="end"/>
      </w:r>
      <w:r>
        <w:t>.</w:t>
      </w:r>
    </w:p>
    <w:p w14:paraId="535261F7" w14:textId="48547CD3"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40</w:t>
      </w:r>
      <w:r>
        <w:fldChar w:fldCharType="end"/>
      </w:r>
      <w:r>
        <w:t xml:space="preserve"> Prevádzkové výdavky - bez projektu</w:t>
      </w:r>
    </w:p>
    <w:tbl>
      <w:tblPr>
        <w:tblW w:w="9277" w:type="dxa"/>
        <w:tblInd w:w="-5" w:type="dxa"/>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5A7D49" w:rsidRPr="00313F9C" w14:paraId="2E640F06" w14:textId="77777777" w:rsidTr="005A7D49">
        <w:trPr>
          <w:trHeight w:val="225"/>
          <w:tblHeader/>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1A852CB4" w14:textId="77777777" w:rsidR="005A7D49" w:rsidRPr="005A7D49" w:rsidRDefault="005A7D49" w:rsidP="005A7D49">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3.1 Prevádzkové výdavky </w:t>
            </w:r>
            <w:r w:rsidRPr="005A7D49">
              <w:rPr>
                <w:rFonts w:asciiTheme="minorHAnsi" w:hAnsiTheme="minorHAnsi" w:cstheme="minorHAnsi"/>
                <w:b/>
                <w:bCs/>
                <w:sz w:val="18"/>
                <w:szCs w:val="18"/>
              </w:rPr>
              <w:br/>
              <w:t>BEZ PROJEKTU</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0210C56B" w14:textId="77777777" w:rsidR="005A7D49" w:rsidRPr="005A7D49" w:rsidRDefault="005A7D49" w:rsidP="005A7D49">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58724D0C"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2022</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3402A186"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63FB6C31"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2024</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3F727DD3"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2025</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center"/>
            <w:hideMark/>
          </w:tcPr>
          <w:p w14:paraId="2651E251"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2026</w:t>
            </w:r>
          </w:p>
        </w:tc>
      </w:tr>
      <w:tr w:rsidR="005A7D49" w:rsidRPr="00313F9C" w14:paraId="7699B72A" w14:textId="77777777" w:rsidTr="005A7D49">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4FA12B9A"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512854A"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290599F"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6CB1EC6"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9686EFE"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676D0A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73064D9"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4C6CF893" w14:textId="77777777" w:rsidTr="005A7D49">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0214BA67"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03FA382"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470A4DE"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071C61F"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7CA5533"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8335960"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4F880AC"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1006F6B1" w14:textId="77777777" w:rsidTr="005A7D49">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0B88F66F"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062C603"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85311B9"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5DB9542"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3FA07E1"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A0D02CE"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03157E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6D6B2855" w14:textId="77777777" w:rsidTr="005A7D49">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7632A4BC" w14:textId="77777777" w:rsidR="005A7D49" w:rsidRPr="005A7D49" w:rsidRDefault="005A7D49" w:rsidP="005A7D49">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FE6C898"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3AA3248"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357BD6F"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80B3DE3"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2522341"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41F3CC4"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054ADE" w:rsidRPr="00313F9C" w14:paraId="048C1D20" w14:textId="77777777" w:rsidTr="005A7D49">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42F72BE8" w14:textId="77777777" w:rsidR="00054ADE" w:rsidRPr="005A7D49" w:rsidRDefault="00054ADE" w:rsidP="00054ADE">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F5C33D5" w14:textId="435E761C"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358 661 243</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F3D2FF9" w14:textId="267FCD8C"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77 423 397</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96622C5" w14:textId="0FFD28E9"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69 789 638</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E50CC10" w14:textId="7E173D32"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69 774 133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CB15C40" w14:textId="5C939D1A"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70 471 769</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B2CE64D" w14:textId="25FEC4B1"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71 202 307</w:t>
            </w:r>
          </w:p>
        </w:tc>
      </w:tr>
      <w:tr w:rsidR="00054ADE" w:rsidRPr="00313F9C" w14:paraId="6C33E7C4" w14:textId="77777777" w:rsidTr="005A7D49">
        <w:trPr>
          <w:trHeight w:val="225"/>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0E45FF90" w14:textId="77777777" w:rsidR="00054ADE" w:rsidRPr="005A7D49" w:rsidRDefault="00054ADE" w:rsidP="00054ADE">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E69EDDD" w14:textId="39CC7066"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0D6F3C1" w14:textId="7300D870"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151FCFE" w14:textId="027C234C"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16379DD" w14:textId="6F62CF95"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046C1BD" w14:textId="3CC27115"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583612E" w14:textId="0A78F70B" w:rsidR="00054ADE" w:rsidRPr="005A7D49" w:rsidRDefault="00054ADE" w:rsidP="00054ADE">
            <w:pPr>
              <w:spacing w:before="0" w:after="0" w:line="240" w:lineRule="auto"/>
              <w:jc w:val="right"/>
              <w:rPr>
                <w:rFonts w:asciiTheme="minorHAnsi" w:hAnsiTheme="minorHAnsi" w:cstheme="minorHAnsi"/>
                <w:sz w:val="18"/>
                <w:szCs w:val="18"/>
              </w:rPr>
            </w:pPr>
            <w:r>
              <w:rPr>
                <w:rFonts w:ascii="Calibri" w:hAnsi="Calibri" w:cs="Calibri"/>
                <w:sz w:val="18"/>
                <w:szCs w:val="18"/>
              </w:rPr>
              <w:t>0</w:t>
            </w:r>
          </w:p>
        </w:tc>
      </w:tr>
      <w:tr w:rsidR="00054ADE" w:rsidRPr="00313F9C" w14:paraId="345C75C9" w14:textId="77777777" w:rsidTr="005A7D49">
        <w:trPr>
          <w:trHeight w:val="240"/>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hemeFill="accent1" w:themeFillTint="33"/>
            <w:noWrap/>
            <w:vAlign w:val="bottom"/>
            <w:hideMark/>
          </w:tcPr>
          <w:p w14:paraId="1E4F440A" w14:textId="77777777" w:rsidR="00054ADE" w:rsidRPr="005A7D49" w:rsidRDefault="00054ADE" w:rsidP="00054ADE">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1F1F498" w14:textId="5DAA0E40"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358 661 243</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A415791" w14:textId="5FF1A25C"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77 423 397</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7C9222D" w14:textId="53EE9FF4"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69 789 638</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A3103A5" w14:textId="03E5E0DC"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69 774 133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565AEFA" w14:textId="24F013CB"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70 471 769</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8F68516" w14:textId="29340B3E"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71 202 307</w:t>
            </w:r>
          </w:p>
        </w:tc>
      </w:tr>
      <w:tr w:rsidR="00054ADE" w:rsidRPr="00313F9C" w14:paraId="1FA9CE25" w14:textId="77777777" w:rsidTr="005A7D49">
        <w:trPr>
          <w:trHeight w:val="240"/>
        </w:trPr>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5A1F5CDC" w14:textId="77777777" w:rsidR="00054ADE" w:rsidRPr="005A7D49" w:rsidRDefault="00054ADE" w:rsidP="00054ADE">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003A50A6" w14:textId="4CA021B7"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358 661 243</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583492EC" w14:textId="363A3B4E"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77 423 397</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73F53E6D" w14:textId="7301E04C"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69 789 638</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2268C9E5" w14:textId="2A06AFF5"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69 774 133</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2916180E" w14:textId="5D9916A7"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70 471 769</w:t>
            </w:r>
          </w:p>
        </w:tc>
        <w:tc>
          <w:tcPr>
            <w:tcW w:w="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noWrap/>
            <w:vAlign w:val="bottom"/>
            <w:hideMark/>
          </w:tcPr>
          <w:p w14:paraId="4FA59DF6" w14:textId="5506FDE7" w:rsidR="00054ADE" w:rsidRPr="005A7D49" w:rsidRDefault="00054ADE" w:rsidP="00054ADE">
            <w:pPr>
              <w:spacing w:before="0" w:after="0" w:line="240" w:lineRule="auto"/>
              <w:jc w:val="right"/>
              <w:rPr>
                <w:rFonts w:asciiTheme="minorHAnsi" w:hAnsiTheme="minorHAnsi" w:cstheme="minorHAnsi"/>
                <w:b/>
                <w:bCs/>
                <w:sz w:val="18"/>
                <w:szCs w:val="18"/>
              </w:rPr>
            </w:pPr>
            <w:r>
              <w:rPr>
                <w:rFonts w:ascii="Calibri" w:hAnsi="Calibri" w:cs="Calibri"/>
                <w:b/>
                <w:bCs/>
                <w:sz w:val="18"/>
                <w:szCs w:val="18"/>
              </w:rPr>
              <w:t>71 202 307</w:t>
            </w:r>
          </w:p>
        </w:tc>
      </w:tr>
    </w:tbl>
    <w:p w14:paraId="50562ADF" w14:textId="08475CB7" w:rsidR="005A7D49" w:rsidRPr="00DA4343" w:rsidRDefault="005A7D49" w:rsidP="005A7D49">
      <w:pPr>
        <w:rPr>
          <w:i/>
          <w:sz w:val="16"/>
        </w:rPr>
      </w:pPr>
      <w:r w:rsidRPr="00DA4343">
        <w:rPr>
          <w:i/>
          <w:sz w:val="16"/>
        </w:rPr>
        <w:t xml:space="preserve">Zdroj: Príloha </w:t>
      </w:r>
      <w:r w:rsidR="00054ADE">
        <w:rPr>
          <w:i/>
          <w:sz w:val="16"/>
        </w:rPr>
        <w:t>2</w:t>
      </w:r>
      <w:r w:rsidRPr="00DA4343">
        <w:rPr>
          <w:i/>
          <w:sz w:val="16"/>
        </w:rPr>
        <w:t xml:space="preserve">, hárok </w:t>
      </w:r>
      <w:r>
        <w:rPr>
          <w:i/>
          <w:sz w:val="16"/>
        </w:rPr>
        <w:t>03</w:t>
      </w:r>
    </w:p>
    <w:p w14:paraId="14B78727" w14:textId="77777777" w:rsidR="005A7D49" w:rsidRDefault="005A7D49" w:rsidP="005A7D49">
      <w:pPr>
        <w:pStyle w:val="Caption"/>
      </w:pPr>
    </w:p>
    <w:p w14:paraId="5FC8AA59" w14:textId="5ACD8149"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41</w:t>
      </w:r>
      <w:r>
        <w:fldChar w:fldCharType="end"/>
      </w:r>
      <w:r>
        <w:t xml:space="preserve"> - Prevádzkové výdavky – s projektom, variant 2</w:t>
      </w:r>
    </w:p>
    <w:tbl>
      <w:tblPr>
        <w:tblW w:w="92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5A7D49" w:rsidRPr="00313F9C" w14:paraId="3A604FEB" w14:textId="77777777" w:rsidTr="005A7D49">
        <w:trPr>
          <w:trHeight w:val="225"/>
        </w:trPr>
        <w:tc>
          <w:tcPr>
            <w:tcW w:w="2977" w:type="dxa"/>
            <w:shd w:val="clear" w:color="auto" w:fill="BDD6EE" w:themeFill="accent1" w:themeFillTint="66"/>
            <w:noWrap/>
            <w:vAlign w:val="bottom"/>
            <w:hideMark/>
          </w:tcPr>
          <w:p w14:paraId="303C079A" w14:textId="77777777" w:rsidR="005A7D49" w:rsidRPr="005A7D49" w:rsidRDefault="005A7D49" w:rsidP="005A7D49">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3.2 Prevádzkové výdavky  </w:t>
            </w:r>
            <w:r w:rsidRPr="005A7D49">
              <w:rPr>
                <w:rFonts w:asciiTheme="minorHAnsi" w:hAnsiTheme="minorHAnsi" w:cstheme="minorHAnsi"/>
                <w:b/>
                <w:bCs/>
                <w:sz w:val="18"/>
                <w:szCs w:val="18"/>
              </w:rPr>
              <w:br/>
              <w:t>S PROJEKTOM</w:t>
            </w:r>
          </w:p>
        </w:tc>
        <w:tc>
          <w:tcPr>
            <w:tcW w:w="1380" w:type="dxa"/>
            <w:shd w:val="clear" w:color="auto" w:fill="BDD6EE" w:themeFill="accent1" w:themeFillTint="66"/>
            <w:noWrap/>
            <w:vAlign w:val="center"/>
            <w:hideMark/>
          </w:tcPr>
          <w:p w14:paraId="09FC6EAC" w14:textId="77777777" w:rsidR="005A7D49" w:rsidRPr="005A7D49" w:rsidRDefault="005A7D49" w:rsidP="005A7D49">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shd w:val="clear" w:color="auto" w:fill="BDD6EE" w:themeFill="accent1" w:themeFillTint="66"/>
            <w:noWrap/>
            <w:vAlign w:val="center"/>
            <w:hideMark/>
          </w:tcPr>
          <w:p w14:paraId="342E7A27" w14:textId="77777777" w:rsidR="005A7D49" w:rsidRPr="005A7D49" w:rsidRDefault="005A7D49" w:rsidP="005A7D4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2022</w:t>
            </w:r>
          </w:p>
        </w:tc>
        <w:tc>
          <w:tcPr>
            <w:tcW w:w="980" w:type="dxa"/>
            <w:shd w:val="clear" w:color="auto" w:fill="BDD6EE" w:themeFill="accent1" w:themeFillTint="66"/>
            <w:noWrap/>
            <w:vAlign w:val="center"/>
            <w:hideMark/>
          </w:tcPr>
          <w:p w14:paraId="7610F073" w14:textId="77777777" w:rsidR="005A7D49" w:rsidRPr="005A7D49" w:rsidRDefault="005A7D49" w:rsidP="005A7D4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2023</w:t>
            </w:r>
          </w:p>
        </w:tc>
        <w:tc>
          <w:tcPr>
            <w:tcW w:w="980" w:type="dxa"/>
            <w:shd w:val="clear" w:color="auto" w:fill="BDD6EE" w:themeFill="accent1" w:themeFillTint="66"/>
            <w:noWrap/>
            <w:vAlign w:val="center"/>
            <w:hideMark/>
          </w:tcPr>
          <w:p w14:paraId="02E55428" w14:textId="77777777" w:rsidR="005A7D49" w:rsidRPr="005A7D49" w:rsidRDefault="005A7D49" w:rsidP="005A7D4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2024</w:t>
            </w:r>
          </w:p>
        </w:tc>
        <w:tc>
          <w:tcPr>
            <w:tcW w:w="980" w:type="dxa"/>
            <w:shd w:val="clear" w:color="auto" w:fill="BDD6EE" w:themeFill="accent1" w:themeFillTint="66"/>
            <w:noWrap/>
            <w:vAlign w:val="center"/>
            <w:hideMark/>
          </w:tcPr>
          <w:p w14:paraId="32DA370F" w14:textId="77777777" w:rsidR="005A7D49" w:rsidRPr="005A7D49" w:rsidRDefault="005A7D49" w:rsidP="005A7D4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2025</w:t>
            </w:r>
          </w:p>
        </w:tc>
        <w:tc>
          <w:tcPr>
            <w:tcW w:w="980" w:type="dxa"/>
            <w:shd w:val="clear" w:color="auto" w:fill="BDD6EE" w:themeFill="accent1" w:themeFillTint="66"/>
            <w:noWrap/>
            <w:vAlign w:val="center"/>
            <w:hideMark/>
          </w:tcPr>
          <w:p w14:paraId="787EFA96" w14:textId="77777777" w:rsidR="005A7D49" w:rsidRPr="005A7D49" w:rsidRDefault="005A7D49" w:rsidP="005A7D49">
            <w:pPr>
              <w:spacing w:before="0" w:after="0" w:line="240" w:lineRule="auto"/>
              <w:jc w:val="center"/>
              <w:rPr>
                <w:rFonts w:asciiTheme="minorHAnsi" w:hAnsiTheme="minorHAnsi" w:cstheme="minorHAnsi"/>
                <w:iCs/>
                <w:sz w:val="18"/>
                <w:szCs w:val="18"/>
              </w:rPr>
            </w:pPr>
            <w:r w:rsidRPr="005A7D49">
              <w:rPr>
                <w:rFonts w:asciiTheme="minorHAnsi" w:hAnsiTheme="minorHAnsi" w:cstheme="minorHAnsi"/>
                <w:iCs/>
                <w:sz w:val="18"/>
                <w:szCs w:val="18"/>
              </w:rPr>
              <w:t>2026</w:t>
            </w:r>
          </w:p>
        </w:tc>
      </w:tr>
      <w:tr w:rsidR="005A7D49" w:rsidRPr="00313F9C" w14:paraId="518DFB0A" w14:textId="77777777" w:rsidTr="005A7D49">
        <w:trPr>
          <w:trHeight w:val="225"/>
        </w:trPr>
        <w:tc>
          <w:tcPr>
            <w:tcW w:w="2977" w:type="dxa"/>
            <w:shd w:val="clear" w:color="auto" w:fill="DEEAF6" w:themeFill="accent1" w:themeFillTint="33"/>
            <w:noWrap/>
            <w:vAlign w:val="bottom"/>
            <w:hideMark/>
          </w:tcPr>
          <w:p w14:paraId="1BE6B4E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shd w:val="clear" w:color="auto" w:fill="auto"/>
            <w:noWrap/>
            <w:vAlign w:val="bottom"/>
            <w:hideMark/>
          </w:tcPr>
          <w:p w14:paraId="7CB7B7AB"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2F0E1794"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4AAB575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2A437962"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79945BF8"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4B994236"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491E46F5" w14:textId="77777777" w:rsidTr="005A7D49">
        <w:trPr>
          <w:trHeight w:val="225"/>
        </w:trPr>
        <w:tc>
          <w:tcPr>
            <w:tcW w:w="2977" w:type="dxa"/>
            <w:shd w:val="clear" w:color="auto" w:fill="DEEAF6" w:themeFill="accent1" w:themeFillTint="33"/>
            <w:noWrap/>
            <w:vAlign w:val="bottom"/>
            <w:hideMark/>
          </w:tcPr>
          <w:p w14:paraId="4EE49E46"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shd w:val="clear" w:color="auto" w:fill="auto"/>
            <w:noWrap/>
            <w:vAlign w:val="bottom"/>
            <w:hideMark/>
          </w:tcPr>
          <w:p w14:paraId="3398D5FF"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09566710"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52BC98F8"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284538D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02A336C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4A7A1902"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324CC36D" w14:textId="77777777" w:rsidTr="005A7D49">
        <w:trPr>
          <w:trHeight w:val="225"/>
        </w:trPr>
        <w:tc>
          <w:tcPr>
            <w:tcW w:w="2977" w:type="dxa"/>
            <w:shd w:val="clear" w:color="auto" w:fill="DEEAF6" w:themeFill="accent1" w:themeFillTint="33"/>
            <w:noWrap/>
            <w:vAlign w:val="bottom"/>
            <w:hideMark/>
          </w:tcPr>
          <w:p w14:paraId="2994FEB2"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shd w:val="clear" w:color="auto" w:fill="auto"/>
            <w:noWrap/>
            <w:vAlign w:val="bottom"/>
            <w:hideMark/>
          </w:tcPr>
          <w:p w14:paraId="53FBB666"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7A9148AF"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329E556A"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7F3F9673"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457BBCE7"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370ABEF6"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4BABA720" w14:textId="77777777" w:rsidTr="005A7D49">
        <w:trPr>
          <w:trHeight w:val="225"/>
        </w:trPr>
        <w:tc>
          <w:tcPr>
            <w:tcW w:w="2977" w:type="dxa"/>
            <w:shd w:val="clear" w:color="auto" w:fill="DEEAF6" w:themeFill="accent1" w:themeFillTint="33"/>
            <w:noWrap/>
            <w:vAlign w:val="bottom"/>
            <w:hideMark/>
          </w:tcPr>
          <w:p w14:paraId="45F20131" w14:textId="77777777" w:rsidR="005A7D49" w:rsidRPr="005A7D49" w:rsidRDefault="005A7D49" w:rsidP="005A7D49">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shd w:val="clear" w:color="auto" w:fill="auto"/>
            <w:noWrap/>
            <w:vAlign w:val="bottom"/>
            <w:hideMark/>
          </w:tcPr>
          <w:p w14:paraId="70249169"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shd w:val="clear" w:color="auto" w:fill="auto"/>
            <w:noWrap/>
            <w:vAlign w:val="bottom"/>
            <w:hideMark/>
          </w:tcPr>
          <w:p w14:paraId="45EB5677"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7060EDAB"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518A9C2D"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4D964948"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19862E51"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CD1571" w:rsidRPr="00313F9C" w14:paraId="082276F2" w14:textId="77777777" w:rsidTr="00EF1CB7">
        <w:trPr>
          <w:trHeight w:val="225"/>
        </w:trPr>
        <w:tc>
          <w:tcPr>
            <w:tcW w:w="2977" w:type="dxa"/>
            <w:shd w:val="clear" w:color="auto" w:fill="DEEAF6" w:themeFill="accent1" w:themeFillTint="33"/>
            <w:noWrap/>
            <w:vAlign w:val="bottom"/>
            <w:hideMark/>
          </w:tcPr>
          <w:p w14:paraId="13375E54" w14:textId="77777777" w:rsidR="00CD1571" w:rsidRPr="005A7D49" w:rsidRDefault="00CD1571" w:rsidP="00CD1571">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shd w:val="clear" w:color="auto" w:fill="auto"/>
            <w:noWrap/>
            <w:vAlign w:val="center"/>
            <w:hideMark/>
          </w:tcPr>
          <w:p w14:paraId="4E2A7EFA" w14:textId="7034F54E"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354 109 610</w:t>
            </w:r>
          </w:p>
        </w:tc>
        <w:tc>
          <w:tcPr>
            <w:tcW w:w="1000" w:type="dxa"/>
            <w:shd w:val="clear" w:color="auto" w:fill="auto"/>
            <w:noWrap/>
            <w:vAlign w:val="center"/>
            <w:hideMark/>
          </w:tcPr>
          <w:p w14:paraId="4F561B14" w14:textId="3AB3B403"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80 190 285</w:t>
            </w:r>
          </w:p>
        </w:tc>
        <w:tc>
          <w:tcPr>
            <w:tcW w:w="980" w:type="dxa"/>
            <w:shd w:val="clear" w:color="auto" w:fill="auto"/>
            <w:noWrap/>
            <w:vAlign w:val="center"/>
            <w:hideMark/>
          </w:tcPr>
          <w:p w14:paraId="3559BB70" w14:textId="1B0DA88A"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69 635 752</w:t>
            </w:r>
          </w:p>
        </w:tc>
        <w:tc>
          <w:tcPr>
            <w:tcW w:w="980" w:type="dxa"/>
            <w:shd w:val="clear" w:color="auto" w:fill="auto"/>
            <w:noWrap/>
            <w:vAlign w:val="center"/>
            <w:hideMark/>
          </w:tcPr>
          <w:p w14:paraId="4E78841D" w14:textId="76077A9D"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68 441 000</w:t>
            </w:r>
          </w:p>
        </w:tc>
        <w:tc>
          <w:tcPr>
            <w:tcW w:w="980" w:type="dxa"/>
            <w:shd w:val="clear" w:color="auto" w:fill="auto"/>
            <w:noWrap/>
            <w:vAlign w:val="center"/>
            <w:hideMark/>
          </w:tcPr>
          <w:p w14:paraId="007130DE" w14:textId="17F7D9FD"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67 921 087</w:t>
            </w:r>
          </w:p>
        </w:tc>
        <w:tc>
          <w:tcPr>
            <w:tcW w:w="980" w:type="dxa"/>
            <w:shd w:val="clear" w:color="auto" w:fill="auto"/>
            <w:noWrap/>
            <w:vAlign w:val="center"/>
            <w:hideMark/>
          </w:tcPr>
          <w:p w14:paraId="116C7072" w14:textId="1A72899E"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67 921 486</w:t>
            </w:r>
          </w:p>
        </w:tc>
      </w:tr>
      <w:tr w:rsidR="00CD1571" w:rsidRPr="00313F9C" w14:paraId="0D7574B5" w14:textId="77777777" w:rsidTr="00EF1CB7">
        <w:trPr>
          <w:trHeight w:val="225"/>
        </w:trPr>
        <w:tc>
          <w:tcPr>
            <w:tcW w:w="2977" w:type="dxa"/>
            <w:shd w:val="clear" w:color="auto" w:fill="DEEAF6" w:themeFill="accent1" w:themeFillTint="33"/>
            <w:noWrap/>
            <w:vAlign w:val="bottom"/>
            <w:hideMark/>
          </w:tcPr>
          <w:p w14:paraId="2D39E35E" w14:textId="77777777" w:rsidR="00CD1571" w:rsidRPr="005A7D49" w:rsidRDefault="00CD1571" w:rsidP="00CD1571">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shd w:val="clear" w:color="auto" w:fill="auto"/>
            <w:noWrap/>
            <w:vAlign w:val="center"/>
            <w:hideMark/>
          </w:tcPr>
          <w:p w14:paraId="20D446E2" w14:textId="3716298C"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000" w:type="dxa"/>
            <w:shd w:val="clear" w:color="auto" w:fill="auto"/>
            <w:noWrap/>
            <w:vAlign w:val="center"/>
            <w:hideMark/>
          </w:tcPr>
          <w:p w14:paraId="0AB01100" w14:textId="6844ADB5"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980" w:type="dxa"/>
            <w:shd w:val="clear" w:color="auto" w:fill="auto"/>
            <w:noWrap/>
            <w:vAlign w:val="center"/>
            <w:hideMark/>
          </w:tcPr>
          <w:p w14:paraId="1F88F45F" w14:textId="2DC8EE65"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980" w:type="dxa"/>
            <w:shd w:val="clear" w:color="auto" w:fill="auto"/>
            <w:noWrap/>
            <w:vAlign w:val="center"/>
            <w:hideMark/>
          </w:tcPr>
          <w:p w14:paraId="6413A7A7" w14:textId="106E52EA"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980" w:type="dxa"/>
            <w:shd w:val="clear" w:color="auto" w:fill="auto"/>
            <w:noWrap/>
            <w:vAlign w:val="center"/>
            <w:hideMark/>
          </w:tcPr>
          <w:p w14:paraId="6113B0A2" w14:textId="736F93A7"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980" w:type="dxa"/>
            <w:shd w:val="clear" w:color="auto" w:fill="auto"/>
            <w:noWrap/>
            <w:vAlign w:val="center"/>
            <w:hideMark/>
          </w:tcPr>
          <w:p w14:paraId="4B6C1BDB" w14:textId="1A8053CC"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r>
      <w:tr w:rsidR="00CD1571" w:rsidRPr="00313F9C" w14:paraId="66C142BC" w14:textId="77777777" w:rsidTr="00EF1CB7">
        <w:trPr>
          <w:trHeight w:val="240"/>
        </w:trPr>
        <w:tc>
          <w:tcPr>
            <w:tcW w:w="2977" w:type="dxa"/>
            <w:shd w:val="clear" w:color="auto" w:fill="DEEAF6" w:themeFill="accent1" w:themeFillTint="33"/>
            <w:noWrap/>
            <w:vAlign w:val="bottom"/>
            <w:hideMark/>
          </w:tcPr>
          <w:p w14:paraId="6E0AF68E" w14:textId="77777777" w:rsidR="00CD1571" w:rsidRPr="005A7D49" w:rsidRDefault="00CD1571" w:rsidP="00CD1571">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shd w:val="clear" w:color="auto" w:fill="auto"/>
            <w:noWrap/>
            <w:vAlign w:val="center"/>
            <w:hideMark/>
          </w:tcPr>
          <w:p w14:paraId="35A18545" w14:textId="627461E2"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354 109 610</w:t>
            </w:r>
          </w:p>
        </w:tc>
        <w:tc>
          <w:tcPr>
            <w:tcW w:w="1000" w:type="dxa"/>
            <w:shd w:val="clear" w:color="auto" w:fill="auto"/>
            <w:noWrap/>
            <w:vAlign w:val="center"/>
            <w:hideMark/>
          </w:tcPr>
          <w:p w14:paraId="10828043" w14:textId="25DBFC49"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80 190 285</w:t>
            </w:r>
          </w:p>
        </w:tc>
        <w:tc>
          <w:tcPr>
            <w:tcW w:w="980" w:type="dxa"/>
            <w:shd w:val="clear" w:color="auto" w:fill="auto"/>
            <w:noWrap/>
            <w:vAlign w:val="center"/>
            <w:hideMark/>
          </w:tcPr>
          <w:p w14:paraId="797F35CC" w14:textId="036A468D"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69 635 752</w:t>
            </w:r>
          </w:p>
        </w:tc>
        <w:tc>
          <w:tcPr>
            <w:tcW w:w="980" w:type="dxa"/>
            <w:shd w:val="clear" w:color="auto" w:fill="auto"/>
            <w:noWrap/>
            <w:vAlign w:val="center"/>
            <w:hideMark/>
          </w:tcPr>
          <w:p w14:paraId="203FBA70" w14:textId="1F215462"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68 441 000</w:t>
            </w:r>
          </w:p>
        </w:tc>
        <w:tc>
          <w:tcPr>
            <w:tcW w:w="980" w:type="dxa"/>
            <w:shd w:val="clear" w:color="auto" w:fill="auto"/>
            <w:noWrap/>
            <w:vAlign w:val="center"/>
            <w:hideMark/>
          </w:tcPr>
          <w:p w14:paraId="47E020BF" w14:textId="5CAF002D"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67 921 087</w:t>
            </w:r>
          </w:p>
        </w:tc>
        <w:tc>
          <w:tcPr>
            <w:tcW w:w="980" w:type="dxa"/>
            <w:shd w:val="clear" w:color="auto" w:fill="auto"/>
            <w:noWrap/>
            <w:vAlign w:val="center"/>
            <w:hideMark/>
          </w:tcPr>
          <w:p w14:paraId="7C5512DA" w14:textId="40A6B09D"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67 921 486</w:t>
            </w:r>
          </w:p>
        </w:tc>
      </w:tr>
      <w:tr w:rsidR="00CD1571" w:rsidRPr="00313F9C" w14:paraId="38B8DE83" w14:textId="77777777" w:rsidTr="00EF1CB7">
        <w:trPr>
          <w:trHeight w:val="240"/>
        </w:trPr>
        <w:tc>
          <w:tcPr>
            <w:tcW w:w="2977" w:type="dxa"/>
            <w:shd w:val="clear" w:color="auto" w:fill="BDD6EE" w:themeFill="accent1" w:themeFillTint="66"/>
            <w:noWrap/>
            <w:vAlign w:val="bottom"/>
            <w:hideMark/>
          </w:tcPr>
          <w:p w14:paraId="1F2A04C9" w14:textId="77777777" w:rsidR="00CD1571" w:rsidRPr="005A7D49" w:rsidRDefault="00CD1571" w:rsidP="00CD1571">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shd w:val="clear" w:color="auto" w:fill="BDD6EE" w:themeFill="accent1" w:themeFillTint="66"/>
            <w:noWrap/>
            <w:vAlign w:val="center"/>
            <w:hideMark/>
          </w:tcPr>
          <w:p w14:paraId="2A06485F" w14:textId="55D250F3"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354 109 610</w:t>
            </w:r>
          </w:p>
        </w:tc>
        <w:tc>
          <w:tcPr>
            <w:tcW w:w="1000" w:type="dxa"/>
            <w:shd w:val="clear" w:color="auto" w:fill="BDD6EE" w:themeFill="accent1" w:themeFillTint="66"/>
            <w:noWrap/>
            <w:vAlign w:val="center"/>
            <w:hideMark/>
          </w:tcPr>
          <w:p w14:paraId="4E132493" w14:textId="007852EC"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80 190 285</w:t>
            </w:r>
          </w:p>
        </w:tc>
        <w:tc>
          <w:tcPr>
            <w:tcW w:w="980" w:type="dxa"/>
            <w:shd w:val="clear" w:color="auto" w:fill="BDD6EE" w:themeFill="accent1" w:themeFillTint="66"/>
            <w:noWrap/>
            <w:vAlign w:val="center"/>
            <w:hideMark/>
          </w:tcPr>
          <w:p w14:paraId="4F6F00DB" w14:textId="2311D6A4"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69 635 752</w:t>
            </w:r>
          </w:p>
        </w:tc>
        <w:tc>
          <w:tcPr>
            <w:tcW w:w="980" w:type="dxa"/>
            <w:shd w:val="clear" w:color="auto" w:fill="BDD6EE" w:themeFill="accent1" w:themeFillTint="66"/>
            <w:noWrap/>
            <w:vAlign w:val="center"/>
            <w:hideMark/>
          </w:tcPr>
          <w:p w14:paraId="7080A926" w14:textId="7E64202D"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68 441 000</w:t>
            </w:r>
          </w:p>
        </w:tc>
        <w:tc>
          <w:tcPr>
            <w:tcW w:w="980" w:type="dxa"/>
            <w:shd w:val="clear" w:color="auto" w:fill="BDD6EE" w:themeFill="accent1" w:themeFillTint="66"/>
            <w:noWrap/>
            <w:vAlign w:val="center"/>
            <w:hideMark/>
          </w:tcPr>
          <w:p w14:paraId="12E5FD9C" w14:textId="62335871"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67 921 087</w:t>
            </w:r>
          </w:p>
        </w:tc>
        <w:tc>
          <w:tcPr>
            <w:tcW w:w="980" w:type="dxa"/>
            <w:shd w:val="clear" w:color="auto" w:fill="BDD6EE" w:themeFill="accent1" w:themeFillTint="66"/>
            <w:noWrap/>
            <w:vAlign w:val="center"/>
            <w:hideMark/>
          </w:tcPr>
          <w:p w14:paraId="1C3F053E" w14:textId="66D4D378"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67 921 486</w:t>
            </w:r>
          </w:p>
        </w:tc>
      </w:tr>
    </w:tbl>
    <w:p w14:paraId="273D09E7" w14:textId="7C2C989E" w:rsidR="005A7D49" w:rsidRDefault="005A7D49" w:rsidP="005A7D49">
      <w:pPr>
        <w:rPr>
          <w:i/>
          <w:sz w:val="16"/>
        </w:rPr>
      </w:pPr>
      <w:r w:rsidRPr="00DA4343">
        <w:rPr>
          <w:i/>
          <w:sz w:val="16"/>
        </w:rPr>
        <w:t xml:space="preserve">Zdroj: Príloha </w:t>
      </w:r>
      <w:r w:rsidR="00054ADE">
        <w:rPr>
          <w:i/>
          <w:sz w:val="16"/>
        </w:rPr>
        <w:t>2</w:t>
      </w:r>
      <w:r w:rsidRPr="00DA4343">
        <w:rPr>
          <w:i/>
          <w:sz w:val="16"/>
        </w:rPr>
        <w:t xml:space="preserve">, hárok </w:t>
      </w:r>
      <w:r>
        <w:rPr>
          <w:i/>
          <w:sz w:val="16"/>
        </w:rPr>
        <w:t>03</w:t>
      </w:r>
    </w:p>
    <w:p w14:paraId="6BB1B33D" w14:textId="2794AB8C" w:rsidR="004907E7" w:rsidRDefault="004907E7">
      <w:pPr>
        <w:spacing w:before="0" w:after="0" w:line="240" w:lineRule="auto"/>
        <w:jc w:val="left"/>
      </w:pPr>
    </w:p>
    <w:p w14:paraId="1B362093" w14:textId="43F4F3E6"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42</w:t>
      </w:r>
      <w:r>
        <w:fldChar w:fldCharType="end"/>
      </w:r>
      <w:r>
        <w:t xml:space="preserve"> - Prevádzkové výdavky - inkrementálne, preferovaný variant 2</w:t>
      </w:r>
    </w:p>
    <w:tbl>
      <w:tblPr>
        <w:tblW w:w="92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5A7D49" w:rsidRPr="00313F9C" w14:paraId="2CD5EBF3" w14:textId="77777777" w:rsidTr="005A7D49">
        <w:trPr>
          <w:trHeight w:val="225"/>
        </w:trPr>
        <w:tc>
          <w:tcPr>
            <w:tcW w:w="2977" w:type="dxa"/>
            <w:shd w:val="clear" w:color="auto" w:fill="BDD6EE" w:themeFill="accent1" w:themeFillTint="66"/>
            <w:noWrap/>
            <w:vAlign w:val="bottom"/>
            <w:hideMark/>
          </w:tcPr>
          <w:p w14:paraId="068C7329" w14:textId="77777777" w:rsidR="005A7D49" w:rsidRPr="005A7D49" w:rsidRDefault="005A7D49" w:rsidP="005A7D49">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3.3  Prevádzkové výdavky  </w:t>
            </w:r>
            <w:r w:rsidRPr="005A7D49">
              <w:rPr>
                <w:rFonts w:asciiTheme="minorHAnsi" w:hAnsiTheme="minorHAnsi" w:cstheme="minorHAnsi"/>
                <w:b/>
                <w:bCs/>
                <w:sz w:val="18"/>
                <w:szCs w:val="18"/>
              </w:rPr>
              <w:br/>
              <w:t>Inkrementálne (PRÍRASTKOVÉ)</w:t>
            </w:r>
          </w:p>
        </w:tc>
        <w:tc>
          <w:tcPr>
            <w:tcW w:w="1380" w:type="dxa"/>
            <w:shd w:val="clear" w:color="auto" w:fill="BDD6EE" w:themeFill="accent1" w:themeFillTint="66"/>
            <w:noWrap/>
            <w:vAlign w:val="center"/>
            <w:hideMark/>
          </w:tcPr>
          <w:p w14:paraId="552A9182" w14:textId="77777777" w:rsidR="005A7D49" w:rsidRPr="005A7D49" w:rsidRDefault="005A7D49" w:rsidP="005A7D49">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shd w:val="clear" w:color="auto" w:fill="BDD6EE" w:themeFill="accent1" w:themeFillTint="66"/>
            <w:noWrap/>
            <w:vAlign w:val="center"/>
            <w:hideMark/>
          </w:tcPr>
          <w:p w14:paraId="5D1D091B"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2022</w:t>
            </w:r>
          </w:p>
        </w:tc>
        <w:tc>
          <w:tcPr>
            <w:tcW w:w="980" w:type="dxa"/>
            <w:shd w:val="clear" w:color="auto" w:fill="BDD6EE" w:themeFill="accent1" w:themeFillTint="66"/>
            <w:noWrap/>
            <w:vAlign w:val="center"/>
            <w:hideMark/>
          </w:tcPr>
          <w:p w14:paraId="3DF34BB1"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2023</w:t>
            </w:r>
          </w:p>
        </w:tc>
        <w:tc>
          <w:tcPr>
            <w:tcW w:w="980" w:type="dxa"/>
            <w:shd w:val="clear" w:color="auto" w:fill="BDD6EE" w:themeFill="accent1" w:themeFillTint="66"/>
            <w:noWrap/>
            <w:vAlign w:val="center"/>
            <w:hideMark/>
          </w:tcPr>
          <w:p w14:paraId="39AB9AF2"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2024</w:t>
            </w:r>
          </w:p>
        </w:tc>
        <w:tc>
          <w:tcPr>
            <w:tcW w:w="980" w:type="dxa"/>
            <w:shd w:val="clear" w:color="auto" w:fill="BDD6EE" w:themeFill="accent1" w:themeFillTint="66"/>
            <w:noWrap/>
            <w:vAlign w:val="center"/>
            <w:hideMark/>
          </w:tcPr>
          <w:p w14:paraId="076400FF"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2025</w:t>
            </w:r>
          </w:p>
        </w:tc>
        <w:tc>
          <w:tcPr>
            <w:tcW w:w="980" w:type="dxa"/>
            <w:shd w:val="clear" w:color="auto" w:fill="BDD6EE" w:themeFill="accent1" w:themeFillTint="66"/>
            <w:noWrap/>
            <w:vAlign w:val="center"/>
            <w:hideMark/>
          </w:tcPr>
          <w:p w14:paraId="2286EA44"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2026</w:t>
            </w:r>
          </w:p>
        </w:tc>
      </w:tr>
      <w:tr w:rsidR="005A7D49" w:rsidRPr="00313F9C" w14:paraId="74FCDFAD" w14:textId="77777777" w:rsidTr="005A7D49">
        <w:trPr>
          <w:trHeight w:val="225"/>
        </w:trPr>
        <w:tc>
          <w:tcPr>
            <w:tcW w:w="2977" w:type="dxa"/>
            <w:shd w:val="clear" w:color="auto" w:fill="DEEAF6" w:themeFill="accent1" w:themeFillTint="33"/>
            <w:noWrap/>
            <w:vAlign w:val="bottom"/>
            <w:hideMark/>
          </w:tcPr>
          <w:p w14:paraId="25C99A6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shd w:val="clear" w:color="auto" w:fill="auto"/>
            <w:noWrap/>
            <w:vAlign w:val="bottom"/>
            <w:hideMark/>
          </w:tcPr>
          <w:p w14:paraId="42361693"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300CCA1D"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75B283AA"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5C71F563"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1ADFAEB5"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123E2422"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r>
      <w:tr w:rsidR="005A7D49" w:rsidRPr="00313F9C" w14:paraId="29E89D29" w14:textId="77777777" w:rsidTr="005A7D49">
        <w:trPr>
          <w:trHeight w:val="225"/>
        </w:trPr>
        <w:tc>
          <w:tcPr>
            <w:tcW w:w="2977" w:type="dxa"/>
            <w:shd w:val="clear" w:color="auto" w:fill="DEEAF6" w:themeFill="accent1" w:themeFillTint="33"/>
            <w:noWrap/>
            <w:vAlign w:val="bottom"/>
            <w:hideMark/>
          </w:tcPr>
          <w:p w14:paraId="241DD9F3"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shd w:val="clear" w:color="auto" w:fill="auto"/>
            <w:noWrap/>
            <w:vAlign w:val="bottom"/>
            <w:hideMark/>
          </w:tcPr>
          <w:p w14:paraId="283EFA8C"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131E9A57"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1813A80A"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45225675"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515BA3A4"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43A19BF3"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r>
      <w:tr w:rsidR="005A7D49" w:rsidRPr="00313F9C" w14:paraId="0D81C326" w14:textId="77777777" w:rsidTr="005A7D49">
        <w:trPr>
          <w:trHeight w:val="225"/>
        </w:trPr>
        <w:tc>
          <w:tcPr>
            <w:tcW w:w="2977" w:type="dxa"/>
            <w:shd w:val="clear" w:color="auto" w:fill="DEEAF6" w:themeFill="accent1" w:themeFillTint="33"/>
            <w:noWrap/>
            <w:vAlign w:val="bottom"/>
            <w:hideMark/>
          </w:tcPr>
          <w:p w14:paraId="5BE1E63D" w14:textId="77777777" w:rsidR="005A7D49" w:rsidRPr="005A7D49" w:rsidRDefault="005A7D49" w:rsidP="005A7D49">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shd w:val="clear" w:color="auto" w:fill="auto"/>
            <w:noWrap/>
            <w:vAlign w:val="bottom"/>
            <w:hideMark/>
          </w:tcPr>
          <w:p w14:paraId="044AA2C8"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3E53865B"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255637A3"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77A1353D"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7E845ADE"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980" w:type="dxa"/>
            <w:shd w:val="clear" w:color="auto" w:fill="auto"/>
            <w:noWrap/>
            <w:vAlign w:val="bottom"/>
            <w:hideMark/>
          </w:tcPr>
          <w:p w14:paraId="369F04A3" w14:textId="77777777" w:rsidR="005A7D49" w:rsidRPr="005A7D49" w:rsidRDefault="005A7D49" w:rsidP="005A7D49">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r>
      <w:tr w:rsidR="005A7D49" w:rsidRPr="00313F9C" w14:paraId="63842A65" w14:textId="77777777" w:rsidTr="005A7D49">
        <w:trPr>
          <w:trHeight w:val="225"/>
        </w:trPr>
        <w:tc>
          <w:tcPr>
            <w:tcW w:w="2977" w:type="dxa"/>
            <w:shd w:val="clear" w:color="auto" w:fill="DEEAF6" w:themeFill="accent1" w:themeFillTint="33"/>
            <w:noWrap/>
            <w:vAlign w:val="bottom"/>
            <w:hideMark/>
          </w:tcPr>
          <w:p w14:paraId="46284BCA" w14:textId="77777777" w:rsidR="005A7D49" w:rsidRPr="005A7D49" w:rsidRDefault="005A7D49" w:rsidP="005A7D49">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shd w:val="clear" w:color="auto" w:fill="auto"/>
            <w:noWrap/>
            <w:vAlign w:val="bottom"/>
            <w:hideMark/>
          </w:tcPr>
          <w:p w14:paraId="12F06D10"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shd w:val="clear" w:color="auto" w:fill="auto"/>
            <w:noWrap/>
            <w:vAlign w:val="bottom"/>
            <w:hideMark/>
          </w:tcPr>
          <w:p w14:paraId="2C94A8C6"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5E1B82FA"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607CA2DC"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2880BD4C"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6DEACB3F" w14:textId="77777777" w:rsidR="005A7D49" w:rsidRPr="005A7D49" w:rsidRDefault="005A7D49" w:rsidP="005A7D49">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CD1571" w:rsidRPr="00313F9C" w14:paraId="1D3ADF2E" w14:textId="77777777" w:rsidTr="00EF1CB7">
        <w:trPr>
          <w:trHeight w:val="225"/>
        </w:trPr>
        <w:tc>
          <w:tcPr>
            <w:tcW w:w="2977" w:type="dxa"/>
            <w:shd w:val="clear" w:color="auto" w:fill="DEEAF6" w:themeFill="accent1" w:themeFillTint="33"/>
            <w:noWrap/>
            <w:vAlign w:val="bottom"/>
            <w:hideMark/>
          </w:tcPr>
          <w:p w14:paraId="605B3DEE" w14:textId="77777777" w:rsidR="00CD1571" w:rsidRPr="005A7D49" w:rsidRDefault="00CD1571" w:rsidP="00CD1571">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shd w:val="clear" w:color="auto" w:fill="auto"/>
            <w:noWrap/>
            <w:vAlign w:val="center"/>
            <w:hideMark/>
          </w:tcPr>
          <w:p w14:paraId="2763BA1D" w14:textId="0DC19C6E"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-4 551 633</w:t>
            </w:r>
          </w:p>
        </w:tc>
        <w:tc>
          <w:tcPr>
            <w:tcW w:w="1000" w:type="dxa"/>
            <w:shd w:val="clear" w:color="auto" w:fill="auto"/>
            <w:noWrap/>
            <w:vAlign w:val="center"/>
            <w:hideMark/>
          </w:tcPr>
          <w:p w14:paraId="37E7BE88" w14:textId="579AE8C6"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2 766 888</w:t>
            </w:r>
          </w:p>
        </w:tc>
        <w:tc>
          <w:tcPr>
            <w:tcW w:w="980" w:type="dxa"/>
            <w:shd w:val="clear" w:color="auto" w:fill="auto"/>
            <w:noWrap/>
            <w:vAlign w:val="center"/>
            <w:hideMark/>
          </w:tcPr>
          <w:p w14:paraId="508532A2" w14:textId="6CE0D256"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-153 886</w:t>
            </w:r>
          </w:p>
        </w:tc>
        <w:tc>
          <w:tcPr>
            <w:tcW w:w="980" w:type="dxa"/>
            <w:shd w:val="clear" w:color="auto" w:fill="auto"/>
            <w:noWrap/>
            <w:vAlign w:val="center"/>
            <w:hideMark/>
          </w:tcPr>
          <w:p w14:paraId="20F458C8" w14:textId="07F2285A"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-1 333 132</w:t>
            </w:r>
          </w:p>
        </w:tc>
        <w:tc>
          <w:tcPr>
            <w:tcW w:w="980" w:type="dxa"/>
            <w:shd w:val="clear" w:color="auto" w:fill="auto"/>
            <w:noWrap/>
            <w:vAlign w:val="center"/>
            <w:hideMark/>
          </w:tcPr>
          <w:p w14:paraId="58FEA1A8" w14:textId="7002C8F4"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-2 550 682</w:t>
            </w:r>
          </w:p>
        </w:tc>
        <w:tc>
          <w:tcPr>
            <w:tcW w:w="980" w:type="dxa"/>
            <w:shd w:val="clear" w:color="auto" w:fill="auto"/>
            <w:noWrap/>
            <w:vAlign w:val="center"/>
            <w:hideMark/>
          </w:tcPr>
          <w:p w14:paraId="3B8CA24B" w14:textId="35E424B0"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-3 280 821</w:t>
            </w:r>
          </w:p>
        </w:tc>
      </w:tr>
      <w:tr w:rsidR="00CD1571" w:rsidRPr="00313F9C" w14:paraId="583EEF64" w14:textId="77777777" w:rsidTr="00EF1CB7">
        <w:trPr>
          <w:trHeight w:val="225"/>
        </w:trPr>
        <w:tc>
          <w:tcPr>
            <w:tcW w:w="2977" w:type="dxa"/>
            <w:shd w:val="clear" w:color="auto" w:fill="DEEAF6" w:themeFill="accent1" w:themeFillTint="33"/>
            <w:noWrap/>
            <w:vAlign w:val="bottom"/>
            <w:hideMark/>
          </w:tcPr>
          <w:p w14:paraId="7690A992" w14:textId="77777777" w:rsidR="00CD1571" w:rsidRPr="005A7D49" w:rsidRDefault="00CD1571" w:rsidP="00CD1571">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shd w:val="clear" w:color="auto" w:fill="auto"/>
            <w:noWrap/>
            <w:vAlign w:val="center"/>
            <w:hideMark/>
          </w:tcPr>
          <w:p w14:paraId="26C63948" w14:textId="0C604B15"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000" w:type="dxa"/>
            <w:shd w:val="clear" w:color="auto" w:fill="auto"/>
            <w:noWrap/>
            <w:vAlign w:val="center"/>
            <w:hideMark/>
          </w:tcPr>
          <w:p w14:paraId="1D9040B9" w14:textId="652D219E"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420FAA36" w14:textId="0F6FA50F"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6E01AB83" w14:textId="491BF130"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511DAEE2" w14:textId="500095E1"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7ACAFC53" w14:textId="4182B19A" w:rsidR="00CD1571" w:rsidRPr="00EF1CB7" w:rsidRDefault="00CD1571" w:rsidP="00CD1571">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r>
      <w:tr w:rsidR="00CD1571" w:rsidRPr="00313F9C" w14:paraId="2323A891" w14:textId="77777777" w:rsidTr="00EF1CB7">
        <w:trPr>
          <w:trHeight w:val="240"/>
        </w:trPr>
        <w:tc>
          <w:tcPr>
            <w:tcW w:w="2977" w:type="dxa"/>
            <w:shd w:val="clear" w:color="auto" w:fill="DEEAF6" w:themeFill="accent1" w:themeFillTint="33"/>
            <w:noWrap/>
            <w:vAlign w:val="bottom"/>
            <w:hideMark/>
          </w:tcPr>
          <w:p w14:paraId="0172B742" w14:textId="77777777" w:rsidR="00CD1571" w:rsidRPr="005A7D49" w:rsidRDefault="00CD1571" w:rsidP="00CD1571">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shd w:val="clear" w:color="auto" w:fill="auto"/>
            <w:noWrap/>
            <w:vAlign w:val="center"/>
            <w:hideMark/>
          </w:tcPr>
          <w:p w14:paraId="28ED0FFB" w14:textId="4DE44B1E"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-4 551 633</w:t>
            </w:r>
          </w:p>
        </w:tc>
        <w:tc>
          <w:tcPr>
            <w:tcW w:w="1000" w:type="dxa"/>
            <w:shd w:val="clear" w:color="auto" w:fill="auto"/>
            <w:noWrap/>
            <w:vAlign w:val="center"/>
            <w:hideMark/>
          </w:tcPr>
          <w:p w14:paraId="298AE215" w14:textId="4A22A67F"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2 766 888</w:t>
            </w:r>
          </w:p>
        </w:tc>
        <w:tc>
          <w:tcPr>
            <w:tcW w:w="980" w:type="dxa"/>
            <w:shd w:val="clear" w:color="auto" w:fill="auto"/>
            <w:noWrap/>
            <w:vAlign w:val="center"/>
            <w:hideMark/>
          </w:tcPr>
          <w:p w14:paraId="50101310" w14:textId="2E5A45DB"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-153 886</w:t>
            </w:r>
          </w:p>
        </w:tc>
        <w:tc>
          <w:tcPr>
            <w:tcW w:w="980" w:type="dxa"/>
            <w:shd w:val="clear" w:color="auto" w:fill="auto"/>
            <w:noWrap/>
            <w:vAlign w:val="center"/>
            <w:hideMark/>
          </w:tcPr>
          <w:p w14:paraId="13B81D53" w14:textId="5836B5BA"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-1 333 132</w:t>
            </w:r>
          </w:p>
        </w:tc>
        <w:tc>
          <w:tcPr>
            <w:tcW w:w="980" w:type="dxa"/>
            <w:shd w:val="clear" w:color="auto" w:fill="auto"/>
            <w:noWrap/>
            <w:vAlign w:val="center"/>
            <w:hideMark/>
          </w:tcPr>
          <w:p w14:paraId="1949C67B" w14:textId="45E6923D"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-2 550 682</w:t>
            </w:r>
          </w:p>
        </w:tc>
        <w:tc>
          <w:tcPr>
            <w:tcW w:w="980" w:type="dxa"/>
            <w:shd w:val="clear" w:color="auto" w:fill="auto"/>
            <w:noWrap/>
            <w:vAlign w:val="center"/>
            <w:hideMark/>
          </w:tcPr>
          <w:p w14:paraId="3E50218B" w14:textId="3984F6B1"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-3 280 821</w:t>
            </w:r>
          </w:p>
        </w:tc>
      </w:tr>
      <w:tr w:rsidR="00CD1571" w:rsidRPr="00313F9C" w14:paraId="1582DEFE" w14:textId="77777777" w:rsidTr="00EF1CB7">
        <w:trPr>
          <w:trHeight w:val="240"/>
        </w:trPr>
        <w:tc>
          <w:tcPr>
            <w:tcW w:w="2977" w:type="dxa"/>
            <w:shd w:val="clear" w:color="auto" w:fill="BDD6EE" w:themeFill="accent1" w:themeFillTint="66"/>
            <w:noWrap/>
            <w:vAlign w:val="bottom"/>
            <w:hideMark/>
          </w:tcPr>
          <w:p w14:paraId="2A0678B3" w14:textId="77777777" w:rsidR="00CD1571" w:rsidRPr="005A7D49" w:rsidRDefault="00CD1571" w:rsidP="00CD1571">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shd w:val="clear" w:color="auto" w:fill="BDD6EE" w:themeFill="accent1" w:themeFillTint="66"/>
            <w:noWrap/>
            <w:vAlign w:val="center"/>
            <w:hideMark/>
          </w:tcPr>
          <w:p w14:paraId="55514371" w14:textId="2CA64822"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-4 551 633</w:t>
            </w:r>
          </w:p>
        </w:tc>
        <w:tc>
          <w:tcPr>
            <w:tcW w:w="1000" w:type="dxa"/>
            <w:shd w:val="clear" w:color="auto" w:fill="BDD6EE" w:themeFill="accent1" w:themeFillTint="66"/>
            <w:noWrap/>
            <w:vAlign w:val="center"/>
            <w:hideMark/>
          </w:tcPr>
          <w:p w14:paraId="29952CC7" w14:textId="022A04C4"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2 766 888</w:t>
            </w:r>
          </w:p>
        </w:tc>
        <w:tc>
          <w:tcPr>
            <w:tcW w:w="980" w:type="dxa"/>
            <w:shd w:val="clear" w:color="auto" w:fill="BDD6EE" w:themeFill="accent1" w:themeFillTint="66"/>
            <w:noWrap/>
            <w:vAlign w:val="center"/>
            <w:hideMark/>
          </w:tcPr>
          <w:p w14:paraId="5AE3A941" w14:textId="21058076"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-153 886</w:t>
            </w:r>
          </w:p>
        </w:tc>
        <w:tc>
          <w:tcPr>
            <w:tcW w:w="980" w:type="dxa"/>
            <w:shd w:val="clear" w:color="auto" w:fill="BDD6EE" w:themeFill="accent1" w:themeFillTint="66"/>
            <w:noWrap/>
            <w:vAlign w:val="center"/>
            <w:hideMark/>
          </w:tcPr>
          <w:p w14:paraId="6AE11015" w14:textId="6B1DFD9E"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-1 333 132</w:t>
            </w:r>
          </w:p>
        </w:tc>
        <w:tc>
          <w:tcPr>
            <w:tcW w:w="980" w:type="dxa"/>
            <w:shd w:val="clear" w:color="auto" w:fill="BDD6EE" w:themeFill="accent1" w:themeFillTint="66"/>
            <w:noWrap/>
            <w:vAlign w:val="center"/>
            <w:hideMark/>
          </w:tcPr>
          <w:p w14:paraId="5732DDEE" w14:textId="78978391"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-2 550 682</w:t>
            </w:r>
          </w:p>
        </w:tc>
        <w:tc>
          <w:tcPr>
            <w:tcW w:w="980" w:type="dxa"/>
            <w:shd w:val="clear" w:color="auto" w:fill="BDD6EE" w:themeFill="accent1" w:themeFillTint="66"/>
            <w:noWrap/>
            <w:vAlign w:val="center"/>
            <w:hideMark/>
          </w:tcPr>
          <w:p w14:paraId="5578C74E" w14:textId="679F448A" w:rsidR="00CD1571" w:rsidRPr="00EF1CB7" w:rsidRDefault="00CD1571" w:rsidP="00CD1571">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-3 280 821</w:t>
            </w:r>
          </w:p>
        </w:tc>
      </w:tr>
    </w:tbl>
    <w:p w14:paraId="58B18014" w14:textId="099E8293" w:rsidR="005A7D49" w:rsidRDefault="005A7D49" w:rsidP="005A7D49">
      <w:r w:rsidRPr="00DA4343">
        <w:rPr>
          <w:i/>
          <w:sz w:val="16"/>
        </w:rPr>
        <w:t xml:space="preserve">Zdroj: Príloha </w:t>
      </w:r>
      <w:r w:rsidR="00054ADE">
        <w:rPr>
          <w:i/>
          <w:sz w:val="16"/>
        </w:rPr>
        <w:t>2</w:t>
      </w:r>
      <w:r w:rsidRPr="00DA4343">
        <w:rPr>
          <w:i/>
          <w:sz w:val="16"/>
        </w:rPr>
        <w:t xml:space="preserve">, hárok </w:t>
      </w:r>
      <w:r>
        <w:rPr>
          <w:i/>
          <w:sz w:val="16"/>
        </w:rPr>
        <w:t>03</w:t>
      </w:r>
    </w:p>
    <w:p w14:paraId="786A980A" w14:textId="2E46B0A3" w:rsidR="005A7D49" w:rsidRDefault="005A7D49" w:rsidP="005A7D49"/>
    <w:p w14:paraId="2C57A8C7" w14:textId="77777777" w:rsidR="005A7D49" w:rsidRDefault="005A7D49" w:rsidP="00A40297">
      <w:pPr>
        <w:pStyle w:val="Heading3"/>
      </w:pPr>
      <w:bookmarkStart w:id="153" w:name="_Toc87348752"/>
      <w:r>
        <w:t>Príjmy</w:t>
      </w:r>
      <w:bookmarkEnd w:id="153"/>
    </w:p>
    <w:p w14:paraId="39F2988F" w14:textId="77777777" w:rsidR="005A7D49" w:rsidRDefault="005A7D49" w:rsidP="00A40297">
      <w:pPr>
        <w:pStyle w:val="Heading4"/>
      </w:pPr>
      <w:r>
        <w:t>Príjmy z výberu mýta</w:t>
      </w:r>
    </w:p>
    <w:p w14:paraId="2AD37D9E" w14:textId="77777777" w:rsidR="005A7D49" w:rsidRDefault="005A7D49" w:rsidP="005A7D49">
      <w:r>
        <w:t>Príjmy projektu sú generované elektronickým výberom mýta počas referenčného obdobia, Celková suma vybraného mýta prognózovaná na roky 2022 – 2026 sa zavedením projektu nezmení za podmienky, že celková efektívnosť výberu mýta sa vstupom nových subjektov – poskytovateľov EETS – nezmení. Navrhované riešenie počíta s kontrolou efektívnosti výberu mýta všetkých poskytovateľov EETS tak, aby boli zachované rovnaké podmienky medzi hlavným poskytovateľom SkyToll a poskytovateľmi EETS a zabezpečená dostatočná motivácia k dosahovaniu maximálnej efektívnosti a nástroje k sankcionovaniu pri nedodržaní minimálnych predpísaných štandardov.</w:t>
      </w:r>
    </w:p>
    <w:p w14:paraId="0E86DDCF" w14:textId="3D5BAD99" w:rsidR="005A7D49" w:rsidRDefault="005A7D49" w:rsidP="005A7D49">
      <w:r>
        <w:t xml:space="preserve">Na účely tejto analýzy bol bez zmeny prevzatý model príjmov, spracovaný v </w:t>
      </w:r>
      <w:r w:rsidRPr="00753C03">
        <w:t>Štúdi</w:t>
      </w:r>
      <w:r>
        <w:t>i</w:t>
      </w:r>
      <w:r w:rsidRPr="00753C03">
        <w:t xml:space="preserve"> uskutočniteľnosti EMS</w:t>
      </w:r>
      <w:r>
        <w:t xml:space="preserve"> pre</w:t>
      </w:r>
      <w:r w:rsidRPr="00753C03">
        <w:t xml:space="preserve"> </w:t>
      </w:r>
      <w:r>
        <w:t xml:space="preserve">rozšírený variant VÚC a </w:t>
      </w:r>
      <w:r w:rsidRPr="00753C03">
        <w:t>vyvážený scenár</w:t>
      </w:r>
      <w:r>
        <w:t xml:space="preserve"> prognózy rastu dopravných výkonov.</w:t>
      </w:r>
    </w:p>
    <w:p w14:paraId="66F805A5" w14:textId="77777777" w:rsidR="005A7D49" w:rsidRDefault="005A7D49" w:rsidP="005A7D49">
      <w:r>
        <w:t xml:space="preserve">Výsledné hodnoty modelu príjmov z výberu mýta sú uvedené v tabuľkách nižšie.  </w:t>
      </w:r>
    </w:p>
    <w:p w14:paraId="53FD74AA" w14:textId="656ADADB"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43</w:t>
      </w:r>
      <w:r>
        <w:fldChar w:fldCharType="end"/>
      </w:r>
      <w:r>
        <w:t xml:space="preserve"> - Príjmy bez projektu</w:t>
      </w:r>
    </w:p>
    <w:tbl>
      <w:tblPr>
        <w:tblW w:w="92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52"/>
        <w:gridCol w:w="1200"/>
        <w:gridCol w:w="1210"/>
        <w:gridCol w:w="1060"/>
        <w:gridCol w:w="1060"/>
        <w:gridCol w:w="1060"/>
        <w:gridCol w:w="1060"/>
      </w:tblGrid>
      <w:tr w:rsidR="005A7D49" w:rsidRPr="00EE191D" w14:paraId="7BE91336" w14:textId="77777777" w:rsidTr="005A7D49">
        <w:trPr>
          <w:trHeight w:val="225"/>
        </w:trPr>
        <w:tc>
          <w:tcPr>
            <w:tcW w:w="2552" w:type="dxa"/>
            <w:shd w:val="clear" w:color="auto" w:fill="BDD6EE" w:themeFill="accent1" w:themeFillTint="66"/>
            <w:noWrap/>
            <w:vAlign w:val="bottom"/>
            <w:hideMark/>
          </w:tcPr>
          <w:p w14:paraId="3D7182E9" w14:textId="77777777" w:rsidR="005A7D49" w:rsidRPr="00EE191D" w:rsidRDefault="005A7D49" w:rsidP="005A7D49">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 4.1 Príjmy BEZ PROJEKTU</w:t>
            </w:r>
          </w:p>
        </w:tc>
        <w:tc>
          <w:tcPr>
            <w:tcW w:w="1200" w:type="dxa"/>
            <w:shd w:val="clear" w:color="auto" w:fill="BDD6EE" w:themeFill="accent1" w:themeFillTint="66"/>
            <w:noWrap/>
            <w:vAlign w:val="bottom"/>
            <w:hideMark/>
          </w:tcPr>
          <w:p w14:paraId="46B806BA" w14:textId="77777777" w:rsidR="005A7D49" w:rsidRPr="00EE191D" w:rsidRDefault="005A7D49" w:rsidP="005A7D49">
            <w:pPr>
              <w:spacing w:before="0" w:after="0" w:line="240" w:lineRule="auto"/>
              <w:jc w:val="center"/>
              <w:rPr>
                <w:rFonts w:asciiTheme="minorHAnsi" w:hAnsiTheme="minorHAnsi" w:cs="Arial"/>
                <w:bCs/>
                <w:sz w:val="18"/>
                <w:szCs w:val="18"/>
              </w:rPr>
            </w:pPr>
            <w:r w:rsidRPr="00EE191D">
              <w:rPr>
                <w:rFonts w:asciiTheme="minorHAnsi" w:hAnsiTheme="minorHAnsi" w:cs="Arial"/>
                <w:bCs/>
                <w:sz w:val="18"/>
                <w:szCs w:val="18"/>
              </w:rPr>
              <w:t>Celkom</w:t>
            </w:r>
          </w:p>
        </w:tc>
        <w:tc>
          <w:tcPr>
            <w:tcW w:w="1210" w:type="dxa"/>
            <w:shd w:val="clear" w:color="auto" w:fill="BDD6EE" w:themeFill="accent1" w:themeFillTint="66"/>
            <w:noWrap/>
            <w:vAlign w:val="bottom"/>
            <w:hideMark/>
          </w:tcPr>
          <w:p w14:paraId="1CE6DE7F" w14:textId="77777777" w:rsidR="005A7D49" w:rsidRPr="00EE191D" w:rsidRDefault="005A7D49" w:rsidP="005A7D49">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2022</w:t>
            </w:r>
          </w:p>
        </w:tc>
        <w:tc>
          <w:tcPr>
            <w:tcW w:w="1060" w:type="dxa"/>
            <w:shd w:val="clear" w:color="auto" w:fill="BDD6EE" w:themeFill="accent1" w:themeFillTint="66"/>
            <w:noWrap/>
            <w:vAlign w:val="bottom"/>
            <w:hideMark/>
          </w:tcPr>
          <w:p w14:paraId="5FF26834" w14:textId="77777777" w:rsidR="005A7D49" w:rsidRPr="00EE191D" w:rsidRDefault="005A7D49" w:rsidP="005A7D49">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2023</w:t>
            </w:r>
          </w:p>
        </w:tc>
        <w:tc>
          <w:tcPr>
            <w:tcW w:w="1060" w:type="dxa"/>
            <w:shd w:val="clear" w:color="auto" w:fill="BDD6EE" w:themeFill="accent1" w:themeFillTint="66"/>
            <w:noWrap/>
            <w:vAlign w:val="bottom"/>
            <w:hideMark/>
          </w:tcPr>
          <w:p w14:paraId="71948A53" w14:textId="77777777" w:rsidR="005A7D49" w:rsidRPr="00EE191D" w:rsidRDefault="005A7D49" w:rsidP="005A7D49">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2024</w:t>
            </w:r>
          </w:p>
        </w:tc>
        <w:tc>
          <w:tcPr>
            <w:tcW w:w="1060" w:type="dxa"/>
            <w:shd w:val="clear" w:color="auto" w:fill="BDD6EE" w:themeFill="accent1" w:themeFillTint="66"/>
            <w:noWrap/>
            <w:vAlign w:val="bottom"/>
            <w:hideMark/>
          </w:tcPr>
          <w:p w14:paraId="6A8B8085" w14:textId="77777777" w:rsidR="005A7D49" w:rsidRPr="00EE191D" w:rsidRDefault="005A7D49" w:rsidP="005A7D49">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2025</w:t>
            </w:r>
          </w:p>
        </w:tc>
        <w:tc>
          <w:tcPr>
            <w:tcW w:w="1060" w:type="dxa"/>
            <w:shd w:val="clear" w:color="auto" w:fill="BDD6EE" w:themeFill="accent1" w:themeFillTint="66"/>
            <w:noWrap/>
            <w:vAlign w:val="bottom"/>
            <w:hideMark/>
          </w:tcPr>
          <w:p w14:paraId="04CE5D97" w14:textId="77777777" w:rsidR="005A7D49" w:rsidRPr="00EE191D" w:rsidRDefault="005A7D49" w:rsidP="005A7D49">
            <w:pPr>
              <w:spacing w:before="0" w:after="0" w:line="240" w:lineRule="auto"/>
              <w:jc w:val="center"/>
              <w:rPr>
                <w:rFonts w:asciiTheme="minorHAnsi" w:hAnsiTheme="minorHAnsi" w:cs="Arial"/>
                <w:iCs/>
                <w:sz w:val="18"/>
                <w:szCs w:val="18"/>
              </w:rPr>
            </w:pPr>
            <w:r w:rsidRPr="00EE191D">
              <w:rPr>
                <w:rFonts w:asciiTheme="minorHAnsi" w:hAnsiTheme="minorHAnsi" w:cs="Arial"/>
                <w:iCs/>
                <w:sz w:val="18"/>
                <w:szCs w:val="18"/>
              </w:rPr>
              <w:t>2026</w:t>
            </w:r>
          </w:p>
        </w:tc>
      </w:tr>
      <w:tr w:rsidR="005A7D49" w:rsidRPr="00EE191D" w14:paraId="2C0A8055" w14:textId="77777777" w:rsidTr="005A7D49">
        <w:trPr>
          <w:trHeight w:val="225"/>
        </w:trPr>
        <w:tc>
          <w:tcPr>
            <w:tcW w:w="2552" w:type="dxa"/>
            <w:shd w:val="clear" w:color="auto" w:fill="auto"/>
            <w:noWrap/>
            <w:vAlign w:val="bottom"/>
            <w:hideMark/>
          </w:tcPr>
          <w:p w14:paraId="37930903" w14:textId="77777777" w:rsidR="005A7D49" w:rsidRPr="00EE191D" w:rsidRDefault="005A7D49" w:rsidP="005A7D49">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Príjmy z mýta</w:t>
            </w:r>
          </w:p>
        </w:tc>
        <w:tc>
          <w:tcPr>
            <w:tcW w:w="1200" w:type="dxa"/>
            <w:shd w:val="clear" w:color="auto" w:fill="auto"/>
            <w:noWrap/>
            <w:vAlign w:val="bottom"/>
            <w:hideMark/>
          </w:tcPr>
          <w:p w14:paraId="1ECD7E73"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1 234 764 335</w:t>
            </w:r>
          </w:p>
        </w:tc>
        <w:tc>
          <w:tcPr>
            <w:tcW w:w="1210" w:type="dxa"/>
            <w:shd w:val="clear" w:color="auto" w:fill="auto"/>
            <w:noWrap/>
            <w:vAlign w:val="bottom"/>
            <w:hideMark/>
          </w:tcPr>
          <w:p w14:paraId="4C78CAC2"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233 655 755</w:t>
            </w:r>
          </w:p>
        </w:tc>
        <w:tc>
          <w:tcPr>
            <w:tcW w:w="1060" w:type="dxa"/>
            <w:shd w:val="clear" w:color="auto" w:fill="auto"/>
            <w:noWrap/>
            <w:vAlign w:val="bottom"/>
            <w:hideMark/>
          </w:tcPr>
          <w:p w14:paraId="51074B2B"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245 504 057</w:t>
            </w:r>
          </w:p>
        </w:tc>
        <w:tc>
          <w:tcPr>
            <w:tcW w:w="1060" w:type="dxa"/>
            <w:shd w:val="clear" w:color="auto" w:fill="auto"/>
            <w:noWrap/>
            <w:vAlign w:val="bottom"/>
            <w:hideMark/>
          </w:tcPr>
          <w:p w14:paraId="1FDB9088"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248 712 141</w:t>
            </w:r>
          </w:p>
        </w:tc>
        <w:tc>
          <w:tcPr>
            <w:tcW w:w="1060" w:type="dxa"/>
            <w:shd w:val="clear" w:color="auto" w:fill="auto"/>
            <w:noWrap/>
            <w:vAlign w:val="bottom"/>
            <w:hideMark/>
          </w:tcPr>
          <w:p w14:paraId="45447810"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251 653 366</w:t>
            </w:r>
          </w:p>
        </w:tc>
        <w:tc>
          <w:tcPr>
            <w:tcW w:w="1060" w:type="dxa"/>
            <w:shd w:val="clear" w:color="auto" w:fill="auto"/>
            <w:noWrap/>
            <w:vAlign w:val="bottom"/>
            <w:hideMark/>
          </w:tcPr>
          <w:p w14:paraId="6EBEE2AA"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255 239 016</w:t>
            </w:r>
          </w:p>
        </w:tc>
      </w:tr>
      <w:tr w:rsidR="005A7D49" w:rsidRPr="00EE191D" w14:paraId="2AA4806F" w14:textId="77777777" w:rsidTr="005A7D49">
        <w:trPr>
          <w:trHeight w:val="225"/>
        </w:trPr>
        <w:tc>
          <w:tcPr>
            <w:tcW w:w="2552" w:type="dxa"/>
            <w:shd w:val="clear" w:color="auto" w:fill="auto"/>
            <w:noWrap/>
            <w:vAlign w:val="bottom"/>
            <w:hideMark/>
          </w:tcPr>
          <w:p w14:paraId="29E9F800" w14:textId="77777777" w:rsidR="005A7D49" w:rsidRPr="00EE191D" w:rsidRDefault="005A7D49" w:rsidP="005A7D49">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Iné príjmy</w:t>
            </w:r>
          </w:p>
        </w:tc>
        <w:tc>
          <w:tcPr>
            <w:tcW w:w="1200" w:type="dxa"/>
            <w:shd w:val="clear" w:color="auto" w:fill="auto"/>
            <w:noWrap/>
            <w:vAlign w:val="bottom"/>
            <w:hideMark/>
          </w:tcPr>
          <w:p w14:paraId="0FDBD78B"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7FE8A42B"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1AEEFA10"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5CFBF5C7"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4910B573"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210DD4AC"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5A7D49" w:rsidRPr="00EE191D" w14:paraId="42452B77" w14:textId="77777777" w:rsidTr="005A7D49">
        <w:trPr>
          <w:trHeight w:val="225"/>
        </w:trPr>
        <w:tc>
          <w:tcPr>
            <w:tcW w:w="2552" w:type="dxa"/>
            <w:shd w:val="clear" w:color="auto" w:fill="BDD6EE" w:themeFill="accent1" w:themeFillTint="66"/>
            <w:noWrap/>
            <w:vAlign w:val="bottom"/>
            <w:hideMark/>
          </w:tcPr>
          <w:p w14:paraId="03DFF3C6" w14:textId="77777777" w:rsidR="005A7D49" w:rsidRPr="00EE191D" w:rsidRDefault="005A7D49" w:rsidP="005A7D49">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Celkové príjmy</w:t>
            </w:r>
          </w:p>
        </w:tc>
        <w:tc>
          <w:tcPr>
            <w:tcW w:w="1200" w:type="dxa"/>
            <w:shd w:val="clear" w:color="auto" w:fill="BDD6EE" w:themeFill="accent1" w:themeFillTint="66"/>
            <w:noWrap/>
            <w:vAlign w:val="bottom"/>
            <w:hideMark/>
          </w:tcPr>
          <w:p w14:paraId="4197B76A"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1 234 764 335</w:t>
            </w:r>
          </w:p>
        </w:tc>
        <w:tc>
          <w:tcPr>
            <w:tcW w:w="1210" w:type="dxa"/>
            <w:shd w:val="clear" w:color="auto" w:fill="BDD6EE" w:themeFill="accent1" w:themeFillTint="66"/>
            <w:noWrap/>
            <w:vAlign w:val="bottom"/>
            <w:hideMark/>
          </w:tcPr>
          <w:p w14:paraId="74643818"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233 655 755</w:t>
            </w:r>
          </w:p>
        </w:tc>
        <w:tc>
          <w:tcPr>
            <w:tcW w:w="1060" w:type="dxa"/>
            <w:shd w:val="clear" w:color="auto" w:fill="BDD6EE" w:themeFill="accent1" w:themeFillTint="66"/>
            <w:noWrap/>
            <w:vAlign w:val="bottom"/>
            <w:hideMark/>
          </w:tcPr>
          <w:p w14:paraId="43C8E1B6"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245 504 057</w:t>
            </w:r>
          </w:p>
        </w:tc>
        <w:tc>
          <w:tcPr>
            <w:tcW w:w="1060" w:type="dxa"/>
            <w:shd w:val="clear" w:color="auto" w:fill="BDD6EE" w:themeFill="accent1" w:themeFillTint="66"/>
            <w:noWrap/>
            <w:vAlign w:val="bottom"/>
            <w:hideMark/>
          </w:tcPr>
          <w:p w14:paraId="0C87D9AA"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248 712 141</w:t>
            </w:r>
          </w:p>
        </w:tc>
        <w:tc>
          <w:tcPr>
            <w:tcW w:w="1060" w:type="dxa"/>
            <w:shd w:val="clear" w:color="auto" w:fill="BDD6EE" w:themeFill="accent1" w:themeFillTint="66"/>
            <w:noWrap/>
            <w:vAlign w:val="bottom"/>
            <w:hideMark/>
          </w:tcPr>
          <w:p w14:paraId="52B5FA5E"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251 653 366</w:t>
            </w:r>
          </w:p>
        </w:tc>
        <w:tc>
          <w:tcPr>
            <w:tcW w:w="1060" w:type="dxa"/>
            <w:shd w:val="clear" w:color="auto" w:fill="BDD6EE" w:themeFill="accent1" w:themeFillTint="66"/>
            <w:noWrap/>
            <w:vAlign w:val="bottom"/>
            <w:hideMark/>
          </w:tcPr>
          <w:p w14:paraId="2A52B70D"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255 239 016</w:t>
            </w:r>
          </w:p>
        </w:tc>
      </w:tr>
    </w:tbl>
    <w:p w14:paraId="72A1417B" w14:textId="2104073D" w:rsidR="005A7D49" w:rsidRDefault="005A7D49" w:rsidP="005A7D49">
      <w:pPr>
        <w:rPr>
          <w:i/>
          <w:sz w:val="16"/>
        </w:rPr>
      </w:pPr>
      <w:r w:rsidRPr="00DA4343">
        <w:rPr>
          <w:i/>
          <w:sz w:val="16"/>
        </w:rPr>
        <w:t xml:space="preserve">Zdroj: Príloha </w:t>
      </w:r>
      <w:r w:rsidR="00054ADE">
        <w:rPr>
          <w:i/>
          <w:sz w:val="16"/>
        </w:rPr>
        <w:t>2</w:t>
      </w:r>
      <w:r w:rsidRPr="00DA4343">
        <w:rPr>
          <w:i/>
          <w:sz w:val="16"/>
        </w:rPr>
        <w:t xml:space="preserve">, hárok </w:t>
      </w:r>
      <w:r>
        <w:rPr>
          <w:i/>
          <w:sz w:val="16"/>
        </w:rPr>
        <w:t>04</w:t>
      </w:r>
    </w:p>
    <w:p w14:paraId="2856A587" w14:textId="01D6E3FB"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44</w:t>
      </w:r>
      <w:r>
        <w:fldChar w:fldCharType="end"/>
      </w:r>
      <w:r>
        <w:t xml:space="preserve"> - Príjmy s projektom, variant 2</w:t>
      </w:r>
    </w:p>
    <w:tbl>
      <w:tblPr>
        <w:tblW w:w="92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52"/>
        <w:gridCol w:w="1200"/>
        <w:gridCol w:w="1210"/>
        <w:gridCol w:w="1060"/>
        <w:gridCol w:w="1060"/>
        <w:gridCol w:w="1060"/>
        <w:gridCol w:w="1060"/>
      </w:tblGrid>
      <w:tr w:rsidR="005A7D49" w:rsidRPr="00EE191D" w14:paraId="2D9EC8C9" w14:textId="77777777" w:rsidTr="005A7D49">
        <w:trPr>
          <w:trHeight w:val="225"/>
        </w:trPr>
        <w:tc>
          <w:tcPr>
            <w:tcW w:w="2552" w:type="dxa"/>
            <w:shd w:val="clear" w:color="auto" w:fill="BDD6EE" w:themeFill="accent1" w:themeFillTint="66"/>
            <w:noWrap/>
            <w:vAlign w:val="bottom"/>
            <w:hideMark/>
          </w:tcPr>
          <w:p w14:paraId="1F18EFA1" w14:textId="77777777" w:rsidR="005A7D49" w:rsidRPr="00EE191D" w:rsidRDefault="005A7D49" w:rsidP="005A7D49">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 4.2 Príjmy S PROJEKTOM</w:t>
            </w:r>
          </w:p>
        </w:tc>
        <w:tc>
          <w:tcPr>
            <w:tcW w:w="1200" w:type="dxa"/>
            <w:shd w:val="clear" w:color="auto" w:fill="BDD6EE" w:themeFill="accent1" w:themeFillTint="66"/>
            <w:noWrap/>
            <w:vAlign w:val="bottom"/>
            <w:hideMark/>
          </w:tcPr>
          <w:p w14:paraId="1AADC730" w14:textId="77777777" w:rsidR="005A7D49" w:rsidRPr="00EE191D" w:rsidRDefault="005A7D49" w:rsidP="005A7D49">
            <w:pPr>
              <w:spacing w:before="0" w:after="0" w:line="240" w:lineRule="auto"/>
              <w:jc w:val="center"/>
              <w:rPr>
                <w:rFonts w:asciiTheme="minorHAnsi" w:hAnsiTheme="minorHAnsi" w:cs="Arial"/>
                <w:bCs/>
                <w:sz w:val="18"/>
                <w:szCs w:val="18"/>
              </w:rPr>
            </w:pPr>
            <w:r w:rsidRPr="00EE191D">
              <w:rPr>
                <w:rFonts w:asciiTheme="minorHAnsi" w:hAnsiTheme="minorHAnsi" w:cs="Arial"/>
                <w:bCs/>
                <w:sz w:val="18"/>
                <w:szCs w:val="18"/>
              </w:rPr>
              <w:t>Celkom</w:t>
            </w:r>
          </w:p>
        </w:tc>
        <w:tc>
          <w:tcPr>
            <w:tcW w:w="1210" w:type="dxa"/>
            <w:shd w:val="clear" w:color="auto" w:fill="BDD6EE" w:themeFill="accent1" w:themeFillTint="66"/>
            <w:noWrap/>
            <w:vAlign w:val="bottom"/>
            <w:hideMark/>
          </w:tcPr>
          <w:p w14:paraId="17BF2BCC"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2022</w:t>
            </w:r>
          </w:p>
        </w:tc>
        <w:tc>
          <w:tcPr>
            <w:tcW w:w="1060" w:type="dxa"/>
            <w:shd w:val="clear" w:color="auto" w:fill="BDD6EE" w:themeFill="accent1" w:themeFillTint="66"/>
            <w:noWrap/>
            <w:vAlign w:val="bottom"/>
            <w:hideMark/>
          </w:tcPr>
          <w:p w14:paraId="1BFFDCCC"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2023</w:t>
            </w:r>
          </w:p>
        </w:tc>
        <w:tc>
          <w:tcPr>
            <w:tcW w:w="1060" w:type="dxa"/>
            <w:shd w:val="clear" w:color="auto" w:fill="BDD6EE" w:themeFill="accent1" w:themeFillTint="66"/>
            <w:noWrap/>
            <w:vAlign w:val="bottom"/>
            <w:hideMark/>
          </w:tcPr>
          <w:p w14:paraId="41C62D9D"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2024</w:t>
            </w:r>
          </w:p>
        </w:tc>
        <w:tc>
          <w:tcPr>
            <w:tcW w:w="1060" w:type="dxa"/>
            <w:shd w:val="clear" w:color="auto" w:fill="BDD6EE" w:themeFill="accent1" w:themeFillTint="66"/>
            <w:noWrap/>
            <w:vAlign w:val="bottom"/>
            <w:hideMark/>
          </w:tcPr>
          <w:p w14:paraId="6AD0C004"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2025</w:t>
            </w:r>
          </w:p>
        </w:tc>
        <w:tc>
          <w:tcPr>
            <w:tcW w:w="1060" w:type="dxa"/>
            <w:shd w:val="clear" w:color="auto" w:fill="BDD6EE" w:themeFill="accent1" w:themeFillTint="66"/>
            <w:noWrap/>
            <w:vAlign w:val="bottom"/>
            <w:hideMark/>
          </w:tcPr>
          <w:p w14:paraId="65634D71"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2026</w:t>
            </w:r>
          </w:p>
        </w:tc>
      </w:tr>
      <w:tr w:rsidR="005A7D49" w:rsidRPr="00EE191D" w14:paraId="5B6DFA6B" w14:textId="77777777" w:rsidTr="005A7D49">
        <w:trPr>
          <w:trHeight w:val="225"/>
        </w:trPr>
        <w:tc>
          <w:tcPr>
            <w:tcW w:w="2552" w:type="dxa"/>
            <w:shd w:val="clear" w:color="auto" w:fill="auto"/>
            <w:noWrap/>
            <w:vAlign w:val="bottom"/>
            <w:hideMark/>
          </w:tcPr>
          <w:p w14:paraId="3F898D9A" w14:textId="77777777" w:rsidR="005A7D49" w:rsidRPr="00EE191D" w:rsidRDefault="005A7D49" w:rsidP="005A7D49">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Príjmy z mýta</w:t>
            </w:r>
          </w:p>
        </w:tc>
        <w:tc>
          <w:tcPr>
            <w:tcW w:w="1200" w:type="dxa"/>
            <w:shd w:val="clear" w:color="auto" w:fill="auto"/>
            <w:noWrap/>
            <w:vAlign w:val="bottom"/>
            <w:hideMark/>
          </w:tcPr>
          <w:p w14:paraId="1B0A2AD5"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1 234 764 335</w:t>
            </w:r>
          </w:p>
        </w:tc>
        <w:tc>
          <w:tcPr>
            <w:tcW w:w="1210" w:type="dxa"/>
            <w:shd w:val="clear" w:color="auto" w:fill="auto"/>
            <w:noWrap/>
            <w:vAlign w:val="bottom"/>
            <w:hideMark/>
          </w:tcPr>
          <w:p w14:paraId="7019F7B5"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233 655 755</w:t>
            </w:r>
          </w:p>
        </w:tc>
        <w:tc>
          <w:tcPr>
            <w:tcW w:w="1060" w:type="dxa"/>
            <w:shd w:val="clear" w:color="auto" w:fill="auto"/>
            <w:noWrap/>
            <w:vAlign w:val="bottom"/>
            <w:hideMark/>
          </w:tcPr>
          <w:p w14:paraId="2F40BBCA"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245 504 057</w:t>
            </w:r>
          </w:p>
        </w:tc>
        <w:tc>
          <w:tcPr>
            <w:tcW w:w="1060" w:type="dxa"/>
            <w:shd w:val="clear" w:color="auto" w:fill="auto"/>
            <w:noWrap/>
            <w:vAlign w:val="bottom"/>
            <w:hideMark/>
          </w:tcPr>
          <w:p w14:paraId="6170F08C"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248 712 141</w:t>
            </w:r>
          </w:p>
        </w:tc>
        <w:tc>
          <w:tcPr>
            <w:tcW w:w="1060" w:type="dxa"/>
            <w:shd w:val="clear" w:color="auto" w:fill="auto"/>
            <w:noWrap/>
            <w:vAlign w:val="bottom"/>
            <w:hideMark/>
          </w:tcPr>
          <w:p w14:paraId="44C92598"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251 653 366</w:t>
            </w:r>
          </w:p>
        </w:tc>
        <w:tc>
          <w:tcPr>
            <w:tcW w:w="1060" w:type="dxa"/>
            <w:shd w:val="clear" w:color="auto" w:fill="auto"/>
            <w:noWrap/>
            <w:vAlign w:val="bottom"/>
            <w:hideMark/>
          </w:tcPr>
          <w:p w14:paraId="73B3FFEC"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255 239 016</w:t>
            </w:r>
          </w:p>
        </w:tc>
      </w:tr>
      <w:tr w:rsidR="005A7D49" w:rsidRPr="00EE191D" w14:paraId="5AE1C2F3" w14:textId="77777777" w:rsidTr="005A7D49">
        <w:trPr>
          <w:trHeight w:val="225"/>
        </w:trPr>
        <w:tc>
          <w:tcPr>
            <w:tcW w:w="2552" w:type="dxa"/>
            <w:shd w:val="clear" w:color="auto" w:fill="auto"/>
            <w:noWrap/>
            <w:vAlign w:val="bottom"/>
            <w:hideMark/>
          </w:tcPr>
          <w:p w14:paraId="252CB41D" w14:textId="77777777" w:rsidR="005A7D49" w:rsidRPr="00EE191D" w:rsidRDefault="005A7D49" w:rsidP="005A7D49">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Iné príjmy</w:t>
            </w:r>
          </w:p>
        </w:tc>
        <w:tc>
          <w:tcPr>
            <w:tcW w:w="1200" w:type="dxa"/>
            <w:shd w:val="clear" w:color="auto" w:fill="auto"/>
            <w:noWrap/>
            <w:vAlign w:val="bottom"/>
            <w:hideMark/>
          </w:tcPr>
          <w:p w14:paraId="3F067CD3"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76EF7EA5"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5CDA7188"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43425655"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62F6D23E"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31EC8CC9"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5A7D49" w:rsidRPr="00EE191D" w14:paraId="076CB91B" w14:textId="77777777" w:rsidTr="005A7D49">
        <w:trPr>
          <w:trHeight w:val="225"/>
        </w:trPr>
        <w:tc>
          <w:tcPr>
            <w:tcW w:w="2552" w:type="dxa"/>
            <w:shd w:val="clear" w:color="auto" w:fill="BDD6EE" w:themeFill="accent1" w:themeFillTint="66"/>
            <w:noWrap/>
            <w:vAlign w:val="bottom"/>
            <w:hideMark/>
          </w:tcPr>
          <w:p w14:paraId="2200CC81" w14:textId="77777777" w:rsidR="005A7D49" w:rsidRPr="00EE191D" w:rsidRDefault="005A7D49" w:rsidP="005A7D49">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Celkové príjmy</w:t>
            </w:r>
          </w:p>
        </w:tc>
        <w:tc>
          <w:tcPr>
            <w:tcW w:w="1200" w:type="dxa"/>
            <w:shd w:val="clear" w:color="auto" w:fill="BDD6EE" w:themeFill="accent1" w:themeFillTint="66"/>
            <w:noWrap/>
            <w:vAlign w:val="bottom"/>
            <w:hideMark/>
          </w:tcPr>
          <w:p w14:paraId="13B23DBE"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1 234 764 335</w:t>
            </w:r>
          </w:p>
        </w:tc>
        <w:tc>
          <w:tcPr>
            <w:tcW w:w="1210" w:type="dxa"/>
            <w:shd w:val="clear" w:color="auto" w:fill="BDD6EE" w:themeFill="accent1" w:themeFillTint="66"/>
            <w:noWrap/>
            <w:vAlign w:val="bottom"/>
            <w:hideMark/>
          </w:tcPr>
          <w:p w14:paraId="37F76370"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233 655 755</w:t>
            </w:r>
          </w:p>
        </w:tc>
        <w:tc>
          <w:tcPr>
            <w:tcW w:w="1060" w:type="dxa"/>
            <w:shd w:val="clear" w:color="auto" w:fill="BDD6EE" w:themeFill="accent1" w:themeFillTint="66"/>
            <w:noWrap/>
            <w:vAlign w:val="bottom"/>
            <w:hideMark/>
          </w:tcPr>
          <w:p w14:paraId="28AE891E"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245 504 057</w:t>
            </w:r>
          </w:p>
        </w:tc>
        <w:tc>
          <w:tcPr>
            <w:tcW w:w="1060" w:type="dxa"/>
            <w:shd w:val="clear" w:color="auto" w:fill="BDD6EE" w:themeFill="accent1" w:themeFillTint="66"/>
            <w:noWrap/>
            <w:vAlign w:val="bottom"/>
            <w:hideMark/>
          </w:tcPr>
          <w:p w14:paraId="4ACF1E09"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248 712 141</w:t>
            </w:r>
          </w:p>
        </w:tc>
        <w:tc>
          <w:tcPr>
            <w:tcW w:w="1060" w:type="dxa"/>
            <w:shd w:val="clear" w:color="auto" w:fill="BDD6EE" w:themeFill="accent1" w:themeFillTint="66"/>
            <w:noWrap/>
            <w:vAlign w:val="bottom"/>
            <w:hideMark/>
          </w:tcPr>
          <w:p w14:paraId="06C02CD2"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251 653 366</w:t>
            </w:r>
          </w:p>
        </w:tc>
        <w:tc>
          <w:tcPr>
            <w:tcW w:w="1060" w:type="dxa"/>
            <w:shd w:val="clear" w:color="auto" w:fill="BDD6EE" w:themeFill="accent1" w:themeFillTint="66"/>
            <w:noWrap/>
            <w:vAlign w:val="bottom"/>
            <w:hideMark/>
          </w:tcPr>
          <w:p w14:paraId="158416D5"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255 239 016</w:t>
            </w:r>
          </w:p>
        </w:tc>
      </w:tr>
    </w:tbl>
    <w:p w14:paraId="7105FE79" w14:textId="4FFC45BF" w:rsidR="005A7D49" w:rsidRDefault="005A7D49" w:rsidP="005A7D49">
      <w:pPr>
        <w:rPr>
          <w:i/>
          <w:sz w:val="16"/>
        </w:rPr>
      </w:pPr>
      <w:r w:rsidRPr="00DA4343">
        <w:rPr>
          <w:i/>
          <w:sz w:val="16"/>
        </w:rPr>
        <w:lastRenderedPageBreak/>
        <w:t xml:space="preserve">Zdroj: Príloha </w:t>
      </w:r>
      <w:r w:rsidR="00054ADE">
        <w:rPr>
          <w:i/>
          <w:sz w:val="16"/>
        </w:rPr>
        <w:t>2</w:t>
      </w:r>
      <w:r w:rsidRPr="00DA4343">
        <w:rPr>
          <w:i/>
          <w:sz w:val="16"/>
        </w:rPr>
        <w:t xml:space="preserve">, hárok </w:t>
      </w:r>
      <w:r>
        <w:rPr>
          <w:i/>
          <w:sz w:val="16"/>
        </w:rPr>
        <w:t>04</w:t>
      </w:r>
    </w:p>
    <w:p w14:paraId="0E00549B" w14:textId="77777777" w:rsidR="005A7D49" w:rsidRDefault="005A7D49" w:rsidP="005A7D49"/>
    <w:p w14:paraId="3DBA8079" w14:textId="6D0E6A4A" w:rsidR="005A7D49" w:rsidRPr="00FA6605" w:rsidRDefault="005A7D49" w:rsidP="005A7D49">
      <w:pPr>
        <w:pStyle w:val="Caption"/>
      </w:pPr>
      <w:r w:rsidRPr="00FA6605">
        <w:t xml:space="preserve">Tab. </w:t>
      </w:r>
      <w:r w:rsidRPr="00FA6605">
        <w:fldChar w:fldCharType="begin"/>
      </w:r>
      <w:r w:rsidRPr="00FA6605">
        <w:instrText xml:space="preserve"> SEQ Tab. \* ARABIC </w:instrText>
      </w:r>
      <w:r w:rsidRPr="00FA6605">
        <w:fldChar w:fldCharType="separate"/>
      </w:r>
      <w:r w:rsidR="00A86720">
        <w:rPr>
          <w:noProof/>
        </w:rPr>
        <w:t>45</w:t>
      </w:r>
      <w:r w:rsidRPr="00FA6605">
        <w:fldChar w:fldCharType="end"/>
      </w:r>
      <w:r w:rsidRPr="00FA6605">
        <w:t xml:space="preserve"> - Inkrementálne príjmy</w:t>
      </w:r>
    </w:p>
    <w:tbl>
      <w:tblPr>
        <w:tblW w:w="92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52"/>
        <w:gridCol w:w="1200"/>
        <w:gridCol w:w="1210"/>
        <w:gridCol w:w="1060"/>
        <w:gridCol w:w="1060"/>
        <w:gridCol w:w="1060"/>
        <w:gridCol w:w="1060"/>
      </w:tblGrid>
      <w:tr w:rsidR="005A7D49" w:rsidRPr="00EE191D" w14:paraId="209B2C6A" w14:textId="77777777" w:rsidTr="005A7D49">
        <w:trPr>
          <w:trHeight w:val="225"/>
        </w:trPr>
        <w:tc>
          <w:tcPr>
            <w:tcW w:w="2552" w:type="dxa"/>
            <w:shd w:val="clear" w:color="auto" w:fill="BDD6EE" w:themeFill="accent1" w:themeFillTint="66"/>
            <w:noWrap/>
            <w:vAlign w:val="bottom"/>
            <w:hideMark/>
          </w:tcPr>
          <w:p w14:paraId="36DF6458" w14:textId="77777777" w:rsidR="005A7D49" w:rsidRPr="00EE191D" w:rsidRDefault="005A7D49" w:rsidP="005A7D49">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 4.3 INKREMENTÁLNE príjmy</w:t>
            </w:r>
          </w:p>
        </w:tc>
        <w:tc>
          <w:tcPr>
            <w:tcW w:w="1200" w:type="dxa"/>
            <w:shd w:val="clear" w:color="auto" w:fill="BDD6EE" w:themeFill="accent1" w:themeFillTint="66"/>
            <w:noWrap/>
            <w:vAlign w:val="bottom"/>
            <w:hideMark/>
          </w:tcPr>
          <w:p w14:paraId="33195B43" w14:textId="77777777" w:rsidR="005A7D49" w:rsidRPr="00EE191D" w:rsidRDefault="005A7D49" w:rsidP="005A7D49">
            <w:pPr>
              <w:spacing w:before="0" w:after="0" w:line="240" w:lineRule="auto"/>
              <w:jc w:val="center"/>
              <w:rPr>
                <w:rFonts w:asciiTheme="minorHAnsi" w:hAnsiTheme="minorHAnsi" w:cs="Arial"/>
                <w:bCs/>
                <w:sz w:val="18"/>
                <w:szCs w:val="18"/>
              </w:rPr>
            </w:pPr>
            <w:r w:rsidRPr="00EE191D">
              <w:rPr>
                <w:rFonts w:asciiTheme="minorHAnsi" w:hAnsiTheme="minorHAnsi" w:cs="Arial"/>
                <w:bCs/>
                <w:sz w:val="18"/>
                <w:szCs w:val="18"/>
              </w:rPr>
              <w:t>Celkom</w:t>
            </w:r>
          </w:p>
        </w:tc>
        <w:tc>
          <w:tcPr>
            <w:tcW w:w="1210" w:type="dxa"/>
            <w:shd w:val="clear" w:color="auto" w:fill="BDD6EE" w:themeFill="accent1" w:themeFillTint="66"/>
            <w:noWrap/>
            <w:vAlign w:val="bottom"/>
            <w:hideMark/>
          </w:tcPr>
          <w:p w14:paraId="6ECEE444"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2022</w:t>
            </w:r>
          </w:p>
        </w:tc>
        <w:tc>
          <w:tcPr>
            <w:tcW w:w="1060" w:type="dxa"/>
            <w:shd w:val="clear" w:color="auto" w:fill="BDD6EE" w:themeFill="accent1" w:themeFillTint="66"/>
            <w:noWrap/>
            <w:vAlign w:val="bottom"/>
            <w:hideMark/>
          </w:tcPr>
          <w:p w14:paraId="1217F71F"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2023</w:t>
            </w:r>
          </w:p>
        </w:tc>
        <w:tc>
          <w:tcPr>
            <w:tcW w:w="1060" w:type="dxa"/>
            <w:shd w:val="clear" w:color="auto" w:fill="BDD6EE" w:themeFill="accent1" w:themeFillTint="66"/>
            <w:noWrap/>
            <w:vAlign w:val="bottom"/>
            <w:hideMark/>
          </w:tcPr>
          <w:p w14:paraId="3C7021D3"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2024</w:t>
            </w:r>
          </w:p>
        </w:tc>
        <w:tc>
          <w:tcPr>
            <w:tcW w:w="1060" w:type="dxa"/>
            <w:shd w:val="clear" w:color="auto" w:fill="BDD6EE" w:themeFill="accent1" w:themeFillTint="66"/>
            <w:noWrap/>
            <w:vAlign w:val="bottom"/>
            <w:hideMark/>
          </w:tcPr>
          <w:p w14:paraId="34CE7305"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2025</w:t>
            </w:r>
          </w:p>
        </w:tc>
        <w:tc>
          <w:tcPr>
            <w:tcW w:w="1060" w:type="dxa"/>
            <w:shd w:val="clear" w:color="auto" w:fill="BDD6EE" w:themeFill="accent1" w:themeFillTint="66"/>
            <w:noWrap/>
            <w:vAlign w:val="bottom"/>
            <w:hideMark/>
          </w:tcPr>
          <w:p w14:paraId="6F1F58B6" w14:textId="77777777" w:rsidR="005A7D49" w:rsidRPr="00EE191D" w:rsidRDefault="005A7D49" w:rsidP="005A7D49">
            <w:pPr>
              <w:spacing w:before="0" w:after="0" w:line="240" w:lineRule="auto"/>
              <w:jc w:val="center"/>
              <w:rPr>
                <w:rFonts w:asciiTheme="minorHAnsi" w:hAnsiTheme="minorHAnsi" w:cs="Arial"/>
                <w:sz w:val="18"/>
                <w:szCs w:val="18"/>
              </w:rPr>
            </w:pPr>
            <w:r w:rsidRPr="00EE191D">
              <w:rPr>
                <w:rFonts w:asciiTheme="minorHAnsi" w:hAnsiTheme="minorHAnsi" w:cs="Arial"/>
                <w:sz w:val="18"/>
                <w:szCs w:val="18"/>
              </w:rPr>
              <w:t>2026</w:t>
            </w:r>
          </w:p>
        </w:tc>
      </w:tr>
      <w:tr w:rsidR="005A7D49" w:rsidRPr="00EE191D" w14:paraId="56D62D97" w14:textId="77777777" w:rsidTr="005A7D49">
        <w:trPr>
          <w:trHeight w:val="225"/>
        </w:trPr>
        <w:tc>
          <w:tcPr>
            <w:tcW w:w="2552" w:type="dxa"/>
            <w:shd w:val="clear" w:color="auto" w:fill="auto"/>
            <w:noWrap/>
            <w:vAlign w:val="bottom"/>
            <w:hideMark/>
          </w:tcPr>
          <w:p w14:paraId="7C03A05E" w14:textId="1C0C8DAD" w:rsidR="005A7D49" w:rsidRPr="00EE191D" w:rsidRDefault="005A7D49" w:rsidP="005A7D49">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Príjmy z</w:t>
            </w:r>
            <w:r w:rsidR="00054ADE">
              <w:rPr>
                <w:rFonts w:asciiTheme="minorHAnsi" w:hAnsiTheme="minorHAnsi" w:cs="Arial"/>
                <w:sz w:val="18"/>
                <w:szCs w:val="18"/>
              </w:rPr>
              <w:t> </w:t>
            </w:r>
            <w:r w:rsidRPr="00EE191D">
              <w:rPr>
                <w:rFonts w:asciiTheme="minorHAnsi" w:hAnsiTheme="minorHAnsi" w:cs="Arial"/>
                <w:sz w:val="18"/>
                <w:szCs w:val="18"/>
              </w:rPr>
              <w:t>mýta</w:t>
            </w:r>
          </w:p>
        </w:tc>
        <w:tc>
          <w:tcPr>
            <w:tcW w:w="1200" w:type="dxa"/>
            <w:shd w:val="clear" w:color="auto" w:fill="auto"/>
            <w:noWrap/>
            <w:vAlign w:val="bottom"/>
            <w:hideMark/>
          </w:tcPr>
          <w:p w14:paraId="322C2964"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633CA2E3"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2841DC32"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01A93C11"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5471F9BE"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3386D640"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5A7D49" w:rsidRPr="00EE191D" w14:paraId="4B9D18D7" w14:textId="77777777" w:rsidTr="005A7D49">
        <w:trPr>
          <w:trHeight w:val="225"/>
        </w:trPr>
        <w:tc>
          <w:tcPr>
            <w:tcW w:w="2552" w:type="dxa"/>
            <w:shd w:val="clear" w:color="auto" w:fill="auto"/>
            <w:noWrap/>
            <w:vAlign w:val="bottom"/>
            <w:hideMark/>
          </w:tcPr>
          <w:p w14:paraId="719FD99C" w14:textId="77777777" w:rsidR="005A7D49" w:rsidRPr="00EE191D" w:rsidRDefault="005A7D49" w:rsidP="005A7D49">
            <w:pPr>
              <w:spacing w:before="0" w:after="0" w:line="240" w:lineRule="auto"/>
              <w:jc w:val="left"/>
              <w:rPr>
                <w:rFonts w:asciiTheme="minorHAnsi" w:hAnsiTheme="minorHAnsi" w:cs="Arial"/>
                <w:sz w:val="18"/>
                <w:szCs w:val="18"/>
              </w:rPr>
            </w:pPr>
            <w:r w:rsidRPr="00EE191D">
              <w:rPr>
                <w:rFonts w:asciiTheme="minorHAnsi" w:hAnsiTheme="minorHAnsi" w:cs="Arial"/>
                <w:sz w:val="18"/>
                <w:szCs w:val="18"/>
              </w:rPr>
              <w:t>Iné príjmy</w:t>
            </w:r>
          </w:p>
        </w:tc>
        <w:tc>
          <w:tcPr>
            <w:tcW w:w="1200" w:type="dxa"/>
            <w:shd w:val="clear" w:color="auto" w:fill="auto"/>
            <w:noWrap/>
            <w:vAlign w:val="bottom"/>
            <w:hideMark/>
          </w:tcPr>
          <w:p w14:paraId="1C6C3B1F"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210" w:type="dxa"/>
            <w:shd w:val="clear" w:color="auto" w:fill="auto"/>
            <w:noWrap/>
            <w:vAlign w:val="bottom"/>
            <w:hideMark/>
          </w:tcPr>
          <w:p w14:paraId="7F24DB11"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43F50DF7"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2B25A110"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5DA09E9B"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c>
          <w:tcPr>
            <w:tcW w:w="1060" w:type="dxa"/>
            <w:shd w:val="clear" w:color="auto" w:fill="auto"/>
            <w:noWrap/>
            <w:vAlign w:val="bottom"/>
            <w:hideMark/>
          </w:tcPr>
          <w:p w14:paraId="75F17832" w14:textId="77777777" w:rsidR="005A7D49" w:rsidRPr="00EE191D" w:rsidRDefault="005A7D49" w:rsidP="005A7D49">
            <w:pPr>
              <w:spacing w:before="0" w:after="0" w:line="240" w:lineRule="auto"/>
              <w:jc w:val="right"/>
              <w:rPr>
                <w:rFonts w:asciiTheme="minorHAnsi" w:hAnsiTheme="minorHAnsi" w:cs="Arial"/>
                <w:sz w:val="18"/>
                <w:szCs w:val="18"/>
              </w:rPr>
            </w:pPr>
            <w:r w:rsidRPr="00EE191D">
              <w:rPr>
                <w:rFonts w:asciiTheme="minorHAnsi" w:hAnsiTheme="minorHAnsi" w:cs="Arial"/>
                <w:sz w:val="18"/>
                <w:szCs w:val="18"/>
              </w:rPr>
              <w:t>0</w:t>
            </w:r>
          </w:p>
        </w:tc>
      </w:tr>
      <w:tr w:rsidR="005A7D49" w:rsidRPr="00EE191D" w14:paraId="59FD9C3D" w14:textId="77777777" w:rsidTr="005A7D49">
        <w:trPr>
          <w:trHeight w:val="225"/>
        </w:trPr>
        <w:tc>
          <w:tcPr>
            <w:tcW w:w="2552" w:type="dxa"/>
            <w:shd w:val="clear" w:color="auto" w:fill="BDD6EE" w:themeFill="accent1" w:themeFillTint="66"/>
            <w:noWrap/>
            <w:vAlign w:val="bottom"/>
            <w:hideMark/>
          </w:tcPr>
          <w:p w14:paraId="64CEC18D" w14:textId="77777777" w:rsidR="005A7D49" w:rsidRPr="00EE191D" w:rsidRDefault="005A7D49" w:rsidP="005A7D49">
            <w:pPr>
              <w:spacing w:before="0" w:after="0" w:line="240" w:lineRule="auto"/>
              <w:jc w:val="left"/>
              <w:rPr>
                <w:rFonts w:asciiTheme="minorHAnsi" w:hAnsiTheme="minorHAnsi" w:cs="Arial"/>
                <w:b/>
                <w:bCs/>
                <w:sz w:val="18"/>
                <w:szCs w:val="18"/>
              </w:rPr>
            </w:pPr>
            <w:r w:rsidRPr="00EE191D">
              <w:rPr>
                <w:rFonts w:asciiTheme="minorHAnsi" w:hAnsiTheme="minorHAnsi" w:cs="Arial"/>
                <w:b/>
                <w:bCs/>
                <w:sz w:val="18"/>
                <w:szCs w:val="18"/>
              </w:rPr>
              <w:t>Celkové príjmy</w:t>
            </w:r>
          </w:p>
        </w:tc>
        <w:tc>
          <w:tcPr>
            <w:tcW w:w="1200" w:type="dxa"/>
            <w:shd w:val="clear" w:color="auto" w:fill="BDD6EE" w:themeFill="accent1" w:themeFillTint="66"/>
            <w:noWrap/>
            <w:vAlign w:val="bottom"/>
            <w:hideMark/>
          </w:tcPr>
          <w:p w14:paraId="6AE42911"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210" w:type="dxa"/>
            <w:shd w:val="clear" w:color="auto" w:fill="BDD6EE" w:themeFill="accent1" w:themeFillTint="66"/>
            <w:noWrap/>
            <w:vAlign w:val="bottom"/>
            <w:hideMark/>
          </w:tcPr>
          <w:p w14:paraId="4E087220"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350F26B1"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214C31D0"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031FC66B"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c>
          <w:tcPr>
            <w:tcW w:w="1060" w:type="dxa"/>
            <w:shd w:val="clear" w:color="auto" w:fill="BDD6EE" w:themeFill="accent1" w:themeFillTint="66"/>
            <w:noWrap/>
            <w:vAlign w:val="bottom"/>
            <w:hideMark/>
          </w:tcPr>
          <w:p w14:paraId="750B9FC7" w14:textId="77777777" w:rsidR="005A7D49" w:rsidRPr="00EE191D" w:rsidRDefault="005A7D49" w:rsidP="005A7D49">
            <w:pPr>
              <w:spacing w:before="0" w:after="0" w:line="240" w:lineRule="auto"/>
              <w:jc w:val="right"/>
              <w:rPr>
                <w:rFonts w:asciiTheme="minorHAnsi" w:hAnsiTheme="minorHAnsi" w:cs="Arial"/>
                <w:b/>
                <w:bCs/>
                <w:sz w:val="18"/>
                <w:szCs w:val="18"/>
              </w:rPr>
            </w:pPr>
            <w:r w:rsidRPr="00EE191D">
              <w:rPr>
                <w:rFonts w:asciiTheme="minorHAnsi" w:hAnsiTheme="minorHAnsi" w:cs="Arial"/>
                <w:b/>
                <w:bCs/>
                <w:sz w:val="18"/>
                <w:szCs w:val="18"/>
              </w:rPr>
              <w:t>0</w:t>
            </w:r>
          </w:p>
        </w:tc>
      </w:tr>
    </w:tbl>
    <w:p w14:paraId="715FC62B" w14:textId="28A3DECB" w:rsidR="005A7D49" w:rsidRDefault="005A7D49" w:rsidP="005A7D49">
      <w:pPr>
        <w:rPr>
          <w:i/>
          <w:sz w:val="16"/>
        </w:rPr>
      </w:pPr>
      <w:r w:rsidRPr="00DA4343">
        <w:rPr>
          <w:i/>
          <w:sz w:val="16"/>
        </w:rPr>
        <w:t xml:space="preserve">Zdroj: Príloha </w:t>
      </w:r>
      <w:r w:rsidR="00054ADE">
        <w:rPr>
          <w:i/>
          <w:sz w:val="16"/>
        </w:rPr>
        <w:t>2</w:t>
      </w:r>
      <w:r w:rsidRPr="00DA4343">
        <w:rPr>
          <w:i/>
          <w:sz w:val="16"/>
        </w:rPr>
        <w:t xml:space="preserve">, hárok </w:t>
      </w:r>
      <w:r>
        <w:rPr>
          <w:i/>
          <w:sz w:val="16"/>
        </w:rPr>
        <w:t>04</w:t>
      </w:r>
    </w:p>
    <w:p w14:paraId="0242630D" w14:textId="77777777" w:rsidR="005A7D49" w:rsidRDefault="005A7D49" w:rsidP="005A7D49">
      <w:r>
        <w:t>Dopad zavedenia projektu na celkové príjmy je nulový, inkrementálne príjmy sú nulové.</w:t>
      </w:r>
    </w:p>
    <w:p w14:paraId="47DE8DEA" w14:textId="77777777" w:rsidR="005A7D49" w:rsidRDefault="005A7D49" w:rsidP="005A7D49"/>
    <w:p w14:paraId="3FF71996" w14:textId="77777777" w:rsidR="005A7D49" w:rsidRDefault="005A7D49" w:rsidP="00A40297">
      <w:pPr>
        <w:pStyle w:val="Heading3"/>
      </w:pPr>
      <w:bookmarkStart w:id="154" w:name="_Toc87348753"/>
      <w:r>
        <w:t>Financovanie</w:t>
      </w:r>
      <w:bookmarkEnd w:id="154"/>
    </w:p>
    <w:p w14:paraId="059D563A" w14:textId="77777777" w:rsidR="005A7D49" w:rsidRDefault="005A7D49" w:rsidP="005A7D49">
      <w:r>
        <w:t>Financovanie Komplexnej služby elektronického výberu mýta ako celku je zabezpečené z výberu mýta, investičné a prevádzkové náklady spojené s rozšírením čiastkových služieb SkyToll o implementáciu EETS budú pokryté odpočítaním z odmeny poskytovateľov EETS v súlade s čl. 7 Smernice.</w:t>
      </w:r>
    </w:p>
    <w:p w14:paraId="0001B488" w14:textId="5C66E56F" w:rsidR="005A7D49" w:rsidRDefault="005A7D49" w:rsidP="005A7D49">
      <w:r>
        <w:t>Model financovania projektu vychádza z nárastu podielu poskytovateľov EETS na výbere mýta podľa čl.</w:t>
      </w:r>
      <w:r w:rsidR="00532C7C">
        <w:t> </w:t>
      </w:r>
      <w:r>
        <w:fldChar w:fldCharType="begin"/>
      </w:r>
      <w:r>
        <w:instrText xml:space="preserve"> REF _Ref72307112 \r \p \h </w:instrText>
      </w:r>
      <w:r>
        <w:fldChar w:fldCharType="separate"/>
      </w:r>
      <w:r w:rsidR="00A86720">
        <w:t>4.3.1 vyššie</w:t>
      </w:r>
      <w:r>
        <w:fldChar w:fldCharType="end"/>
      </w:r>
      <w:r>
        <w:t xml:space="preserve"> tak, aby celkové inkrementálne náklady na rozšírenie Komplexnej služby elektronického výberu mýta boli pokryté príspevkom z odmeny poskytovateľov EETS ku koncu roka 2026. </w:t>
      </w:r>
    </w:p>
    <w:p w14:paraId="7095CE8E" w14:textId="03271A4A" w:rsidR="005A7D49" w:rsidRDefault="005A7D49" w:rsidP="002625C2">
      <w:pPr>
        <w:pStyle w:val="Caption"/>
      </w:pPr>
      <w:r>
        <w:t xml:space="preserve">Tab. </w:t>
      </w:r>
      <w:r>
        <w:fldChar w:fldCharType="begin"/>
      </w:r>
      <w:r>
        <w:instrText xml:space="preserve"> SEQ Tab. \* ARABIC </w:instrText>
      </w:r>
      <w:r>
        <w:fldChar w:fldCharType="separate"/>
      </w:r>
      <w:r w:rsidR="00A86720">
        <w:rPr>
          <w:noProof/>
        </w:rPr>
        <w:t>46</w:t>
      </w:r>
      <w:r>
        <w:fldChar w:fldCharType="end"/>
      </w:r>
      <w:r>
        <w:t xml:space="preserve"> - Výpočet finančnej medzery</w:t>
      </w:r>
    </w:p>
    <w:tbl>
      <w:tblPr>
        <w:tblW w:w="911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6237"/>
        <w:gridCol w:w="1440"/>
        <w:gridCol w:w="1440"/>
      </w:tblGrid>
      <w:tr w:rsidR="005A7D49" w:rsidRPr="00A17F90" w14:paraId="36AA2C64" w14:textId="77777777" w:rsidTr="00A40297">
        <w:trPr>
          <w:trHeight w:val="225"/>
        </w:trPr>
        <w:tc>
          <w:tcPr>
            <w:tcW w:w="6237" w:type="dxa"/>
            <w:shd w:val="clear" w:color="auto" w:fill="BDD6EE" w:themeFill="accent1" w:themeFillTint="66"/>
            <w:noWrap/>
            <w:vAlign w:val="center"/>
            <w:hideMark/>
          </w:tcPr>
          <w:p w14:paraId="3E2206DC" w14:textId="77777777" w:rsidR="005A7D49" w:rsidRPr="00A17F90" w:rsidRDefault="005A7D49" w:rsidP="00A40297">
            <w:pPr>
              <w:spacing w:before="0" w:after="0" w:line="240" w:lineRule="auto"/>
              <w:jc w:val="left"/>
              <w:rPr>
                <w:rFonts w:cs="Arial"/>
                <w:b/>
                <w:bCs/>
                <w:sz w:val="16"/>
                <w:szCs w:val="16"/>
              </w:rPr>
            </w:pPr>
            <w:r w:rsidRPr="00A17F90">
              <w:rPr>
                <w:rFonts w:cs="Arial"/>
                <w:b/>
                <w:bCs/>
                <w:sz w:val="16"/>
                <w:szCs w:val="16"/>
              </w:rPr>
              <w:t>5.1 Výpočet finančnej medzery</w:t>
            </w:r>
            <w:r>
              <w:rPr>
                <w:rFonts w:cs="Arial"/>
                <w:b/>
                <w:bCs/>
                <w:sz w:val="16"/>
                <w:szCs w:val="16"/>
              </w:rPr>
              <w:t xml:space="preserve"> [Eur]</w:t>
            </w:r>
          </w:p>
        </w:tc>
        <w:tc>
          <w:tcPr>
            <w:tcW w:w="1440" w:type="dxa"/>
            <w:shd w:val="clear" w:color="auto" w:fill="BDD6EE" w:themeFill="accent1" w:themeFillTint="66"/>
            <w:noWrap/>
            <w:vAlign w:val="bottom"/>
            <w:hideMark/>
          </w:tcPr>
          <w:p w14:paraId="3A6E07B4" w14:textId="77777777" w:rsidR="005A7D49" w:rsidRPr="00A17F90" w:rsidRDefault="005A7D49" w:rsidP="005A7D49">
            <w:pPr>
              <w:spacing w:before="0" w:after="0" w:line="240" w:lineRule="auto"/>
              <w:jc w:val="left"/>
              <w:rPr>
                <w:rFonts w:cs="Arial"/>
                <w:sz w:val="16"/>
                <w:szCs w:val="16"/>
              </w:rPr>
            </w:pPr>
            <w:r w:rsidRPr="00A17F90">
              <w:rPr>
                <w:rFonts w:cs="Arial"/>
                <w:sz w:val="16"/>
                <w:szCs w:val="16"/>
              </w:rPr>
              <w:t>Nediskontované</w:t>
            </w:r>
          </w:p>
        </w:tc>
        <w:tc>
          <w:tcPr>
            <w:tcW w:w="1440" w:type="dxa"/>
            <w:shd w:val="clear" w:color="auto" w:fill="BDD6EE" w:themeFill="accent1" w:themeFillTint="66"/>
            <w:noWrap/>
            <w:vAlign w:val="bottom"/>
            <w:hideMark/>
          </w:tcPr>
          <w:p w14:paraId="2A2A5FCE" w14:textId="77777777" w:rsidR="005A7D49" w:rsidRPr="00A17F90" w:rsidRDefault="005A7D49" w:rsidP="005A7D49">
            <w:pPr>
              <w:spacing w:before="0" w:after="0" w:line="240" w:lineRule="auto"/>
              <w:jc w:val="left"/>
              <w:rPr>
                <w:rFonts w:cs="Arial"/>
                <w:sz w:val="16"/>
                <w:szCs w:val="16"/>
              </w:rPr>
            </w:pPr>
            <w:r w:rsidRPr="00A17F90">
              <w:rPr>
                <w:rFonts w:cs="Arial"/>
                <w:sz w:val="16"/>
                <w:szCs w:val="16"/>
              </w:rPr>
              <w:t>Diskontované</w:t>
            </w:r>
          </w:p>
        </w:tc>
      </w:tr>
      <w:tr w:rsidR="000A4BF0" w:rsidRPr="00A17F90" w14:paraId="7B4602A8" w14:textId="77777777" w:rsidTr="00EF1CB7">
        <w:trPr>
          <w:trHeight w:val="225"/>
        </w:trPr>
        <w:tc>
          <w:tcPr>
            <w:tcW w:w="6237" w:type="dxa"/>
            <w:shd w:val="clear" w:color="auto" w:fill="DEEAF6" w:themeFill="accent1" w:themeFillTint="33"/>
            <w:noWrap/>
            <w:vAlign w:val="center"/>
            <w:hideMark/>
          </w:tcPr>
          <w:p w14:paraId="3975C7E7"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Investičné náklady</w:t>
            </w:r>
          </w:p>
        </w:tc>
        <w:tc>
          <w:tcPr>
            <w:tcW w:w="1440" w:type="dxa"/>
            <w:shd w:val="clear" w:color="auto" w:fill="auto"/>
            <w:noWrap/>
            <w:vAlign w:val="center"/>
            <w:hideMark/>
          </w:tcPr>
          <w:p w14:paraId="7682BF02" w14:textId="011FA66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440" w:type="dxa"/>
            <w:shd w:val="clear" w:color="auto" w:fill="auto"/>
            <w:noWrap/>
            <w:vAlign w:val="center"/>
            <w:hideMark/>
          </w:tcPr>
          <w:p w14:paraId="10E6A49E" w14:textId="36401690"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r>
      <w:tr w:rsidR="000A4BF0" w:rsidRPr="00A17F90" w14:paraId="161EF941" w14:textId="77777777" w:rsidTr="00EF1CB7">
        <w:trPr>
          <w:trHeight w:val="225"/>
        </w:trPr>
        <w:tc>
          <w:tcPr>
            <w:tcW w:w="6237" w:type="dxa"/>
            <w:shd w:val="clear" w:color="auto" w:fill="DEEAF6" w:themeFill="accent1" w:themeFillTint="33"/>
            <w:noWrap/>
            <w:vAlign w:val="center"/>
            <w:hideMark/>
          </w:tcPr>
          <w:p w14:paraId="47E0EF40"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Zostatková hodnota</w:t>
            </w:r>
          </w:p>
        </w:tc>
        <w:tc>
          <w:tcPr>
            <w:tcW w:w="1440" w:type="dxa"/>
            <w:shd w:val="clear" w:color="auto" w:fill="auto"/>
            <w:noWrap/>
            <w:vAlign w:val="center"/>
            <w:hideMark/>
          </w:tcPr>
          <w:p w14:paraId="1B474CC9" w14:textId="53AE54E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440" w:type="dxa"/>
            <w:shd w:val="clear" w:color="auto" w:fill="auto"/>
            <w:noWrap/>
            <w:vAlign w:val="center"/>
            <w:hideMark/>
          </w:tcPr>
          <w:p w14:paraId="19596907" w14:textId="61FCD96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A17F90" w14:paraId="36757069" w14:textId="77777777" w:rsidTr="00EF1CB7">
        <w:trPr>
          <w:trHeight w:val="225"/>
        </w:trPr>
        <w:tc>
          <w:tcPr>
            <w:tcW w:w="6237" w:type="dxa"/>
            <w:shd w:val="clear" w:color="auto" w:fill="DEEAF6" w:themeFill="accent1" w:themeFillTint="33"/>
            <w:noWrap/>
            <w:vAlign w:val="center"/>
            <w:hideMark/>
          </w:tcPr>
          <w:p w14:paraId="3D4CDF92"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Príjmy</w:t>
            </w:r>
          </w:p>
        </w:tc>
        <w:tc>
          <w:tcPr>
            <w:tcW w:w="1440" w:type="dxa"/>
            <w:shd w:val="clear" w:color="auto" w:fill="auto"/>
            <w:noWrap/>
            <w:vAlign w:val="center"/>
            <w:hideMark/>
          </w:tcPr>
          <w:p w14:paraId="4929BD47" w14:textId="3C2CD49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1 234 764 335</w:t>
            </w:r>
          </w:p>
        </w:tc>
        <w:tc>
          <w:tcPr>
            <w:tcW w:w="1440" w:type="dxa"/>
            <w:shd w:val="clear" w:color="auto" w:fill="auto"/>
            <w:noWrap/>
            <w:vAlign w:val="center"/>
            <w:hideMark/>
          </w:tcPr>
          <w:p w14:paraId="614F3371" w14:textId="1EE4FAC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1 339 656 386</w:t>
            </w:r>
          </w:p>
        </w:tc>
      </w:tr>
      <w:tr w:rsidR="000A4BF0" w:rsidRPr="00A17F90" w14:paraId="546C61FB" w14:textId="77777777" w:rsidTr="00EF1CB7">
        <w:trPr>
          <w:trHeight w:val="225"/>
        </w:trPr>
        <w:tc>
          <w:tcPr>
            <w:tcW w:w="6237" w:type="dxa"/>
            <w:shd w:val="clear" w:color="auto" w:fill="DEEAF6" w:themeFill="accent1" w:themeFillTint="33"/>
            <w:noWrap/>
            <w:vAlign w:val="center"/>
            <w:hideMark/>
          </w:tcPr>
          <w:p w14:paraId="5266375F"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Prevádzkové náklady</w:t>
            </w:r>
          </w:p>
        </w:tc>
        <w:tc>
          <w:tcPr>
            <w:tcW w:w="1440" w:type="dxa"/>
            <w:shd w:val="clear" w:color="auto" w:fill="auto"/>
            <w:noWrap/>
            <w:vAlign w:val="center"/>
            <w:hideMark/>
          </w:tcPr>
          <w:p w14:paraId="36671F70" w14:textId="51756E2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360 520 858</w:t>
            </w:r>
          </w:p>
        </w:tc>
        <w:tc>
          <w:tcPr>
            <w:tcW w:w="1440" w:type="dxa"/>
            <w:shd w:val="clear" w:color="auto" w:fill="auto"/>
            <w:noWrap/>
            <w:vAlign w:val="center"/>
            <w:hideMark/>
          </w:tcPr>
          <w:p w14:paraId="2D2DE30E" w14:textId="21106B9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389 666 742</w:t>
            </w:r>
          </w:p>
        </w:tc>
      </w:tr>
      <w:tr w:rsidR="000A4BF0" w:rsidRPr="00A17F90" w14:paraId="58FBF712" w14:textId="77777777" w:rsidTr="00EF1CB7">
        <w:trPr>
          <w:trHeight w:val="225"/>
        </w:trPr>
        <w:tc>
          <w:tcPr>
            <w:tcW w:w="6237" w:type="dxa"/>
            <w:shd w:val="clear" w:color="auto" w:fill="DEEAF6" w:themeFill="accent1" w:themeFillTint="33"/>
            <w:noWrap/>
            <w:vAlign w:val="center"/>
            <w:hideMark/>
          </w:tcPr>
          <w:p w14:paraId="5CF7C87A"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Čistý príjem</w:t>
            </w:r>
          </w:p>
        </w:tc>
        <w:tc>
          <w:tcPr>
            <w:tcW w:w="1440" w:type="dxa"/>
            <w:shd w:val="clear" w:color="auto" w:fill="auto"/>
            <w:noWrap/>
            <w:vAlign w:val="center"/>
            <w:hideMark/>
          </w:tcPr>
          <w:p w14:paraId="28D2D88C" w14:textId="0DFB94D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874 243 477</w:t>
            </w:r>
          </w:p>
        </w:tc>
        <w:tc>
          <w:tcPr>
            <w:tcW w:w="1440" w:type="dxa"/>
            <w:shd w:val="clear" w:color="auto" w:fill="auto"/>
            <w:noWrap/>
            <w:vAlign w:val="center"/>
            <w:hideMark/>
          </w:tcPr>
          <w:p w14:paraId="3BCA3FBD" w14:textId="078A871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949 989 644</w:t>
            </w:r>
          </w:p>
        </w:tc>
      </w:tr>
      <w:tr w:rsidR="000A4BF0" w:rsidRPr="00A17F90" w14:paraId="6F87340D" w14:textId="77777777" w:rsidTr="00EF1CB7">
        <w:trPr>
          <w:trHeight w:val="240"/>
        </w:trPr>
        <w:tc>
          <w:tcPr>
            <w:tcW w:w="6237" w:type="dxa"/>
            <w:shd w:val="clear" w:color="auto" w:fill="DEEAF6" w:themeFill="accent1" w:themeFillTint="33"/>
            <w:noWrap/>
            <w:vAlign w:val="center"/>
            <w:hideMark/>
          </w:tcPr>
          <w:p w14:paraId="55425D55" w14:textId="77777777" w:rsidR="000A4BF0" w:rsidRPr="00A17F90" w:rsidRDefault="000A4BF0" w:rsidP="000A4BF0">
            <w:pPr>
              <w:spacing w:before="0" w:after="0" w:line="240" w:lineRule="auto"/>
              <w:jc w:val="left"/>
              <w:rPr>
                <w:rFonts w:cs="Arial"/>
                <w:sz w:val="16"/>
                <w:szCs w:val="16"/>
              </w:rPr>
            </w:pPr>
            <w:r w:rsidRPr="00A17F90">
              <w:rPr>
                <w:rFonts w:cs="Arial"/>
                <w:sz w:val="16"/>
                <w:szCs w:val="16"/>
              </w:rPr>
              <w:t>Investičné náklady - čistý príjem</w:t>
            </w:r>
          </w:p>
        </w:tc>
        <w:tc>
          <w:tcPr>
            <w:tcW w:w="1440" w:type="dxa"/>
            <w:shd w:val="clear" w:color="auto" w:fill="auto"/>
            <w:noWrap/>
            <w:vAlign w:val="center"/>
            <w:hideMark/>
          </w:tcPr>
          <w:p w14:paraId="6E036004" w14:textId="686CC4D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-870 830 998</w:t>
            </w:r>
          </w:p>
        </w:tc>
        <w:tc>
          <w:tcPr>
            <w:tcW w:w="1440" w:type="dxa"/>
            <w:shd w:val="clear" w:color="auto" w:fill="auto"/>
            <w:noWrap/>
            <w:vAlign w:val="center"/>
            <w:hideMark/>
          </w:tcPr>
          <w:p w14:paraId="12876700" w14:textId="2FC90769"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-946 577 165</w:t>
            </w:r>
          </w:p>
        </w:tc>
      </w:tr>
      <w:tr w:rsidR="00054ADE" w:rsidRPr="00A17F90" w14:paraId="58A6645A" w14:textId="77777777" w:rsidTr="00A40297">
        <w:trPr>
          <w:trHeight w:val="240"/>
        </w:trPr>
        <w:tc>
          <w:tcPr>
            <w:tcW w:w="6237" w:type="dxa"/>
            <w:shd w:val="clear" w:color="auto" w:fill="BDD6EE" w:themeFill="accent1" w:themeFillTint="66"/>
            <w:noWrap/>
            <w:vAlign w:val="center"/>
            <w:hideMark/>
          </w:tcPr>
          <w:p w14:paraId="30E4DABF" w14:textId="77777777" w:rsidR="00054ADE" w:rsidRPr="00A17F90" w:rsidRDefault="00054ADE" w:rsidP="00C81C52">
            <w:pPr>
              <w:spacing w:before="0" w:after="0" w:line="240" w:lineRule="auto"/>
              <w:jc w:val="left"/>
              <w:rPr>
                <w:rFonts w:cs="Arial"/>
                <w:sz w:val="16"/>
                <w:szCs w:val="16"/>
              </w:rPr>
            </w:pPr>
            <w:r w:rsidRPr="00A17F90">
              <w:rPr>
                <w:rFonts w:cs="Arial"/>
                <w:sz w:val="16"/>
                <w:szCs w:val="16"/>
              </w:rPr>
              <w:t>Finančná medzera</w:t>
            </w:r>
          </w:p>
        </w:tc>
        <w:tc>
          <w:tcPr>
            <w:tcW w:w="1440" w:type="dxa"/>
            <w:shd w:val="clear" w:color="auto" w:fill="BDD6EE" w:themeFill="accent1" w:themeFillTint="66"/>
            <w:noWrap/>
            <w:vAlign w:val="center"/>
            <w:hideMark/>
          </w:tcPr>
          <w:p w14:paraId="56A8AD53" w14:textId="07680B40" w:rsidR="00054ADE" w:rsidRPr="00A17F90" w:rsidRDefault="00054ADE" w:rsidP="00A40297">
            <w:pPr>
              <w:spacing w:before="0" w:after="0" w:line="240" w:lineRule="auto"/>
              <w:jc w:val="right"/>
              <w:rPr>
                <w:rFonts w:cs="Arial"/>
                <w:sz w:val="16"/>
                <w:szCs w:val="16"/>
              </w:rPr>
            </w:pPr>
            <w:r>
              <w:rPr>
                <w:rFonts w:ascii="Calibri" w:hAnsi="Calibri" w:cs="Calibri"/>
                <w:sz w:val="18"/>
                <w:szCs w:val="18"/>
              </w:rPr>
              <w:t>0</w:t>
            </w:r>
            <w:r w:rsidR="00532C7C">
              <w:rPr>
                <w:rFonts w:ascii="Calibri" w:hAnsi="Calibri" w:cs="Calibri"/>
                <w:sz w:val="18"/>
                <w:szCs w:val="18"/>
              </w:rPr>
              <w:t xml:space="preserve"> </w:t>
            </w:r>
            <w:r>
              <w:rPr>
                <w:rFonts w:ascii="Calibri" w:hAnsi="Calibri" w:cs="Calibri"/>
                <w:sz w:val="18"/>
                <w:szCs w:val="18"/>
              </w:rPr>
              <w:t>%</w:t>
            </w:r>
          </w:p>
        </w:tc>
        <w:tc>
          <w:tcPr>
            <w:tcW w:w="1440" w:type="dxa"/>
            <w:shd w:val="clear" w:color="auto" w:fill="BDD6EE" w:themeFill="accent1" w:themeFillTint="66"/>
            <w:noWrap/>
            <w:vAlign w:val="center"/>
            <w:hideMark/>
          </w:tcPr>
          <w:p w14:paraId="200E1E20" w14:textId="74B6B57B" w:rsidR="00054ADE" w:rsidRPr="00A17F90" w:rsidRDefault="00054ADE" w:rsidP="00A40297">
            <w:pPr>
              <w:spacing w:before="0" w:after="0" w:line="240" w:lineRule="auto"/>
              <w:jc w:val="right"/>
              <w:rPr>
                <w:rFonts w:cs="Arial"/>
                <w:sz w:val="16"/>
                <w:szCs w:val="16"/>
              </w:rPr>
            </w:pPr>
            <w:r>
              <w:rPr>
                <w:rFonts w:ascii="Calibri" w:hAnsi="Calibri" w:cs="Calibri"/>
                <w:sz w:val="18"/>
                <w:szCs w:val="18"/>
              </w:rPr>
              <w:t>0</w:t>
            </w:r>
            <w:r w:rsidR="00532C7C">
              <w:rPr>
                <w:rFonts w:ascii="Calibri" w:hAnsi="Calibri" w:cs="Calibri"/>
                <w:sz w:val="18"/>
                <w:szCs w:val="18"/>
              </w:rPr>
              <w:t xml:space="preserve"> </w:t>
            </w:r>
            <w:r>
              <w:rPr>
                <w:rFonts w:ascii="Calibri" w:hAnsi="Calibri" w:cs="Calibri"/>
                <w:sz w:val="18"/>
                <w:szCs w:val="18"/>
              </w:rPr>
              <w:t>%</w:t>
            </w:r>
          </w:p>
        </w:tc>
      </w:tr>
    </w:tbl>
    <w:p w14:paraId="0264A96A" w14:textId="756102C9" w:rsidR="005A7D49" w:rsidRDefault="005A7D49" w:rsidP="005A7D49">
      <w:r w:rsidRPr="00DA4343">
        <w:rPr>
          <w:i/>
          <w:sz w:val="16"/>
        </w:rPr>
        <w:t xml:space="preserve">Zdroj: Príloha </w:t>
      </w:r>
      <w:r w:rsidR="00054ADE">
        <w:rPr>
          <w:i/>
          <w:sz w:val="16"/>
        </w:rPr>
        <w:t>2</w:t>
      </w:r>
      <w:r w:rsidRPr="00DA4343">
        <w:rPr>
          <w:i/>
          <w:sz w:val="16"/>
        </w:rPr>
        <w:t xml:space="preserve">, hárok </w:t>
      </w:r>
      <w:r>
        <w:rPr>
          <w:i/>
          <w:sz w:val="16"/>
        </w:rPr>
        <w:t>05</w:t>
      </w:r>
    </w:p>
    <w:p w14:paraId="6AC3FD61" w14:textId="77777777" w:rsidR="005A7D49" w:rsidRPr="00654F28" w:rsidRDefault="005A7D49" w:rsidP="005A7D49">
      <w:r>
        <w:t>Finančná medzera je nulová, financovanie bude zabezpečené z vlastných zdrojov z elektronického výberu mýta. Neuvažuje sa so splátkami úverov, ani s financovaním z fondov EÚ. Projekt je finančne udržateľný a finančná medzera je nulová.</w:t>
      </w:r>
    </w:p>
    <w:p w14:paraId="7BDC6314" w14:textId="77777777" w:rsidR="005A7D49" w:rsidRPr="003027A0" w:rsidRDefault="005A7D49" w:rsidP="005A7D49"/>
    <w:p w14:paraId="50D1FC3D" w14:textId="784AEEB2" w:rsidR="005A7D49" w:rsidRDefault="005A7D49" w:rsidP="00A40297">
      <w:pPr>
        <w:pStyle w:val="Heading3"/>
      </w:pPr>
      <w:bookmarkStart w:id="155" w:name="_Toc87348754"/>
      <w:r>
        <w:t>Vyhodnotenie finančnej analýzy</w:t>
      </w:r>
      <w:r w:rsidR="0095790F">
        <w:t xml:space="preserve"> – Variant 2</w:t>
      </w:r>
      <w:bookmarkEnd w:id="155"/>
    </w:p>
    <w:p w14:paraId="22C6814F" w14:textId="77777777" w:rsidR="005A7D49" w:rsidRDefault="005A7D49" w:rsidP="00A40297">
      <w:pPr>
        <w:pStyle w:val="Heading4"/>
      </w:pPr>
      <w:r>
        <w:t>Čistá súčasná hodnota investície</w:t>
      </w:r>
    </w:p>
    <w:p w14:paraId="345B82AD" w14:textId="25B4CBD0" w:rsidR="005A7D49" w:rsidRDefault="005A7D49" w:rsidP="005A7D49">
      <w:r>
        <w:t>Na základe hotovostných tokov variantu 2 projektu bola stanovená čistá finančná súčasná hodnota investície FNPV-C pri uvažovaní diskontnej sadzby 4,0 %. Zostatková hodnota na konci projektu je rovná nule.</w:t>
      </w:r>
    </w:p>
    <w:p w14:paraId="35B0EB8F" w14:textId="4034AB0F"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47</w:t>
      </w:r>
      <w:r>
        <w:fldChar w:fldCharType="end"/>
      </w:r>
      <w:r>
        <w:t xml:space="preserve"> Finančná čistá súčasná hodnota investície, finančné toky v Eur</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56"/>
        <w:gridCol w:w="1162"/>
        <w:gridCol w:w="1162"/>
        <w:gridCol w:w="1162"/>
        <w:gridCol w:w="1162"/>
        <w:gridCol w:w="1163"/>
      </w:tblGrid>
      <w:tr w:rsidR="005A7D49" w:rsidRPr="004B03EA" w14:paraId="39670F9B" w14:textId="77777777" w:rsidTr="005A7D49">
        <w:trPr>
          <w:trHeight w:val="225"/>
        </w:trPr>
        <w:tc>
          <w:tcPr>
            <w:tcW w:w="3256" w:type="dxa"/>
            <w:shd w:val="clear" w:color="auto" w:fill="BDD6EE" w:themeFill="accent1" w:themeFillTint="66"/>
            <w:noWrap/>
            <w:vAlign w:val="center"/>
            <w:hideMark/>
          </w:tcPr>
          <w:p w14:paraId="5F499614" w14:textId="77777777" w:rsidR="005A7D49" w:rsidRPr="004B03EA" w:rsidRDefault="005A7D49" w:rsidP="005A7D49">
            <w:pPr>
              <w:spacing w:before="0" w:after="0" w:line="240" w:lineRule="auto"/>
              <w:jc w:val="left"/>
              <w:rPr>
                <w:rFonts w:asciiTheme="minorHAnsi" w:hAnsiTheme="minorHAnsi" w:cs="Arial"/>
                <w:b/>
                <w:bCs/>
                <w:sz w:val="18"/>
                <w:szCs w:val="18"/>
              </w:rPr>
            </w:pPr>
            <w:r w:rsidRPr="004B03EA">
              <w:rPr>
                <w:rFonts w:asciiTheme="minorHAnsi" w:hAnsiTheme="minorHAnsi" w:cs="Arial"/>
                <w:b/>
                <w:bCs/>
                <w:sz w:val="18"/>
                <w:szCs w:val="18"/>
              </w:rPr>
              <w:t>6.1 Finančná čistá súčasná hodnota investície  (F</w:t>
            </w:r>
            <w:r>
              <w:rPr>
                <w:rFonts w:asciiTheme="minorHAnsi" w:hAnsiTheme="minorHAnsi" w:cs="Arial"/>
                <w:b/>
                <w:bCs/>
                <w:sz w:val="18"/>
                <w:szCs w:val="18"/>
              </w:rPr>
              <w:t>NPV</w:t>
            </w:r>
            <w:r w:rsidRPr="004B03EA">
              <w:rPr>
                <w:rFonts w:asciiTheme="minorHAnsi" w:hAnsiTheme="minorHAnsi" w:cs="Arial"/>
                <w:b/>
                <w:bCs/>
                <w:sz w:val="18"/>
                <w:szCs w:val="18"/>
              </w:rPr>
              <w:t>_C)</w:t>
            </w:r>
          </w:p>
        </w:tc>
        <w:tc>
          <w:tcPr>
            <w:tcW w:w="1162" w:type="dxa"/>
            <w:shd w:val="clear" w:color="auto" w:fill="BDD6EE" w:themeFill="accent1" w:themeFillTint="66"/>
            <w:noWrap/>
            <w:vAlign w:val="center"/>
            <w:hideMark/>
          </w:tcPr>
          <w:p w14:paraId="250F61E5" w14:textId="77777777" w:rsidR="005A7D49" w:rsidRPr="004B03EA" w:rsidRDefault="005A7D49" w:rsidP="005A7D49">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2022</w:t>
            </w:r>
          </w:p>
        </w:tc>
        <w:tc>
          <w:tcPr>
            <w:tcW w:w="1162" w:type="dxa"/>
            <w:shd w:val="clear" w:color="auto" w:fill="BDD6EE" w:themeFill="accent1" w:themeFillTint="66"/>
            <w:noWrap/>
            <w:vAlign w:val="center"/>
            <w:hideMark/>
          </w:tcPr>
          <w:p w14:paraId="5A2B65DB" w14:textId="77777777" w:rsidR="005A7D49" w:rsidRPr="004B03EA" w:rsidRDefault="005A7D49" w:rsidP="005A7D49">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2023</w:t>
            </w:r>
          </w:p>
        </w:tc>
        <w:tc>
          <w:tcPr>
            <w:tcW w:w="1162" w:type="dxa"/>
            <w:shd w:val="clear" w:color="auto" w:fill="BDD6EE" w:themeFill="accent1" w:themeFillTint="66"/>
            <w:noWrap/>
            <w:vAlign w:val="center"/>
            <w:hideMark/>
          </w:tcPr>
          <w:p w14:paraId="4DEF7054" w14:textId="77777777" w:rsidR="005A7D49" w:rsidRPr="004B03EA" w:rsidRDefault="005A7D49" w:rsidP="005A7D49">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2024</w:t>
            </w:r>
          </w:p>
        </w:tc>
        <w:tc>
          <w:tcPr>
            <w:tcW w:w="1162" w:type="dxa"/>
            <w:shd w:val="clear" w:color="auto" w:fill="BDD6EE" w:themeFill="accent1" w:themeFillTint="66"/>
            <w:noWrap/>
            <w:vAlign w:val="center"/>
            <w:hideMark/>
          </w:tcPr>
          <w:p w14:paraId="75B52453" w14:textId="77777777" w:rsidR="005A7D49" w:rsidRPr="004B03EA" w:rsidRDefault="005A7D49" w:rsidP="005A7D49">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2025</w:t>
            </w:r>
          </w:p>
        </w:tc>
        <w:tc>
          <w:tcPr>
            <w:tcW w:w="1163" w:type="dxa"/>
            <w:shd w:val="clear" w:color="auto" w:fill="BDD6EE" w:themeFill="accent1" w:themeFillTint="66"/>
            <w:noWrap/>
            <w:vAlign w:val="center"/>
            <w:hideMark/>
          </w:tcPr>
          <w:p w14:paraId="413F6DE0" w14:textId="77777777" w:rsidR="005A7D49" w:rsidRPr="004B03EA" w:rsidRDefault="005A7D49" w:rsidP="005A7D49">
            <w:pPr>
              <w:spacing w:before="0" w:after="0" w:line="240" w:lineRule="auto"/>
              <w:jc w:val="center"/>
              <w:rPr>
                <w:rFonts w:asciiTheme="minorHAnsi" w:hAnsiTheme="minorHAnsi" w:cs="Arial"/>
                <w:iCs/>
                <w:sz w:val="18"/>
                <w:szCs w:val="18"/>
              </w:rPr>
            </w:pPr>
            <w:r w:rsidRPr="004B03EA">
              <w:rPr>
                <w:rFonts w:asciiTheme="minorHAnsi" w:hAnsiTheme="minorHAnsi" w:cs="Arial"/>
                <w:iCs/>
                <w:sz w:val="18"/>
                <w:szCs w:val="18"/>
              </w:rPr>
              <w:t>2026</w:t>
            </w:r>
          </w:p>
        </w:tc>
      </w:tr>
      <w:tr w:rsidR="000A4BF0" w:rsidRPr="004B03EA" w14:paraId="43C59545" w14:textId="77777777" w:rsidTr="00EF1CB7">
        <w:trPr>
          <w:trHeight w:val="225"/>
        </w:trPr>
        <w:tc>
          <w:tcPr>
            <w:tcW w:w="3256" w:type="dxa"/>
            <w:shd w:val="clear" w:color="auto" w:fill="DEEAF6" w:themeFill="accent1" w:themeFillTint="33"/>
            <w:noWrap/>
            <w:vAlign w:val="center"/>
            <w:hideMark/>
          </w:tcPr>
          <w:p w14:paraId="41CE6FFF"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Investičné výdavky</w:t>
            </w:r>
          </w:p>
        </w:tc>
        <w:tc>
          <w:tcPr>
            <w:tcW w:w="1162" w:type="dxa"/>
            <w:shd w:val="clear" w:color="auto" w:fill="auto"/>
            <w:noWrap/>
            <w:vAlign w:val="center"/>
            <w:hideMark/>
          </w:tcPr>
          <w:p w14:paraId="27AB5671" w14:textId="4E2E18A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162" w:type="dxa"/>
            <w:shd w:val="clear" w:color="auto" w:fill="auto"/>
            <w:noWrap/>
            <w:vAlign w:val="center"/>
            <w:hideMark/>
          </w:tcPr>
          <w:p w14:paraId="731FE77E" w14:textId="5975239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2A00C0B0" w14:textId="7DE294D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79ECF9C6" w14:textId="7875FA0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3" w:type="dxa"/>
            <w:shd w:val="clear" w:color="auto" w:fill="auto"/>
            <w:noWrap/>
            <w:vAlign w:val="center"/>
            <w:hideMark/>
          </w:tcPr>
          <w:p w14:paraId="133718F8" w14:textId="61053E8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F6764A" w:rsidRPr="004B03EA" w14:paraId="610ECCB0" w14:textId="77777777" w:rsidTr="00366F12">
        <w:trPr>
          <w:trHeight w:val="225"/>
        </w:trPr>
        <w:tc>
          <w:tcPr>
            <w:tcW w:w="3256" w:type="dxa"/>
            <w:shd w:val="clear" w:color="auto" w:fill="DEEAF6" w:themeFill="accent1" w:themeFillTint="33"/>
            <w:noWrap/>
            <w:vAlign w:val="center"/>
            <w:hideMark/>
          </w:tcPr>
          <w:p w14:paraId="0DFC543B" w14:textId="77777777" w:rsidR="00F6764A" w:rsidRPr="004B03EA" w:rsidRDefault="00F6764A" w:rsidP="00F6764A">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Prevádzkové výdavky</w:t>
            </w:r>
          </w:p>
        </w:tc>
        <w:tc>
          <w:tcPr>
            <w:tcW w:w="1162" w:type="dxa"/>
            <w:shd w:val="clear" w:color="auto" w:fill="auto"/>
            <w:noWrap/>
            <w:vAlign w:val="bottom"/>
            <w:hideMark/>
          </w:tcPr>
          <w:p w14:paraId="24381EF2" w14:textId="64154D8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80 190 285</w:t>
            </w:r>
          </w:p>
        </w:tc>
        <w:tc>
          <w:tcPr>
            <w:tcW w:w="1162" w:type="dxa"/>
            <w:shd w:val="clear" w:color="auto" w:fill="auto"/>
            <w:noWrap/>
            <w:vAlign w:val="bottom"/>
            <w:hideMark/>
          </w:tcPr>
          <w:p w14:paraId="1807F6A5" w14:textId="204B32D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69 635 752</w:t>
            </w:r>
          </w:p>
        </w:tc>
        <w:tc>
          <w:tcPr>
            <w:tcW w:w="1162" w:type="dxa"/>
            <w:shd w:val="clear" w:color="auto" w:fill="auto"/>
            <w:noWrap/>
            <w:vAlign w:val="bottom"/>
            <w:hideMark/>
          </w:tcPr>
          <w:p w14:paraId="048DCB6C" w14:textId="7FEB42C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68 441 000</w:t>
            </w:r>
          </w:p>
        </w:tc>
        <w:tc>
          <w:tcPr>
            <w:tcW w:w="1162" w:type="dxa"/>
            <w:shd w:val="clear" w:color="auto" w:fill="auto"/>
            <w:noWrap/>
            <w:vAlign w:val="bottom"/>
            <w:hideMark/>
          </w:tcPr>
          <w:p w14:paraId="4EC1998B" w14:textId="7F6E3EE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67 921 087</w:t>
            </w:r>
          </w:p>
        </w:tc>
        <w:tc>
          <w:tcPr>
            <w:tcW w:w="1163" w:type="dxa"/>
            <w:shd w:val="clear" w:color="auto" w:fill="auto"/>
            <w:noWrap/>
            <w:vAlign w:val="bottom"/>
            <w:hideMark/>
          </w:tcPr>
          <w:p w14:paraId="742C42E2" w14:textId="4370507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67 921 486</w:t>
            </w:r>
          </w:p>
        </w:tc>
      </w:tr>
      <w:tr w:rsidR="000A4BF0" w:rsidRPr="004B03EA" w14:paraId="176A4ABA" w14:textId="77777777" w:rsidTr="00EF1CB7">
        <w:trPr>
          <w:trHeight w:val="225"/>
        </w:trPr>
        <w:tc>
          <w:tcPr>
            <w:tcW w:w="3256" w:type="dxa"/>
            <w:shd w:val="clear" w:color="auto" w:fill="DEEAF6" w:themeFill="accent1" w:themeFillTint="33"/>
            <w:noWrap/>
            <w:vAlign w:val="center"/>
            <w:hideMark/>
          </w:tcPr>
          <w:p w14:paraId="0FCF6E0E"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Príjmy</w:t>
            </w:r>
          </w:p>
        </w:tc>
        <w:tc>
          <w:tcPr>
            <w:tcW w:w="1162" w:type="dxa"/>
            <w:shd w:val="clear" w:color="auto" w:fill="auto"/>
            <w:noWrap/>
            <w:vAlign w:val="center"/>
            <w:hideMark/>
          </w:tcPr>
          <w:p w14:paraId="23BDDB11" w14:textId="34B571A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233 655 755</w:t>
            </w:r>
          </w:p>
        </w:tc>
        <w:tc>
          <w:tcPr>
            <w:tcW w:w="1162" w:type="dxa"/>
            <w:shd w:val="clear" w:color="auto" w:fill="auto"/>
            <w:noWrap/>
            <w:vAlign w:val="center"/>
            <w:hideMark/>
          </w:tcPr>
          <w:p w14:paraId="4589D5B2" w14:textId="2FD5D68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245 504 057</w:t>
            </w:r>
          </w:p>
        </w:tc>
        <w:tc>
          <w:tcPr>
            <w:tcW w:w="1162" w:type="dxa"/>
            <w:shd w:val="clear" w:color="auto" w:fill="auto"/>
            <w:noWrap/>
            <w:vAlign w:val="center"/>
            <w:hideMark/>
          </w:tcPr>
          <w:p w14:paraId="53D7E22F" w14:textId="3992ED9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248 712 141</w:t>
            </w:r>
          </w:p>
        </w:tc>
        <w:tc>
          <w:tcPr>
            <w:tcW w:w="1162" w:type="dxa"/>
            <w:shd w:val="clear" w:color="auto" w:fill="auto"/>
            <w:noWrap/>
            <w:vAlign w:val="center"/>
            <w:hideMark/>
          </w:tcPr>
          <w:p w14:paraId="1C0CFAB8" w14:textId="54B2058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251 653 366</w:t>
            </w:r>
          </w:p>
        </w:tc>
        <w:tc>
          <w:tcPr>
            <w:tcW w:w="1163" w:type="dxa"/>
            <w:shd w:val="clear" w:color="auto" w:fill="auto"/>
            <w:noWrap/>
            <w:vAlign w:val="center"/>
            <w:hideMark/>
          </w:tcPr>
          <w:p w14:paraId="38FB2FEC" w14:textId="4C8A40E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255 239 016</w:t>
            </w:r>
          </w:p>
        </w:tc>
      </w:tr>
      <w:tr w:rsidR="000A4BF0" w:rsidRPr="004B03EA" w14:paraId="7D4B024F" w14:textId="77777777" w:rsidTr="00EF1CB7">
        <w:trPr>
          <w:trHeight w:val="240"/>
        </w:trPr>
        <w:tc>
          <w:tcPr>
            <w:tcW w:w="3256" w:type="dxa"/>
            <w:shd w:val="clear" w:color="auto" w:fill="DEEAF6" w:themeFill="accent1" w:themeFillTint="33"/>
            <w:noWrap/>
            <w:vAlign w:val="center"/>
            <w:hideMark/>
          </w:tcPr>
          <w:p w14:paraId="63C17AD0" w14:textId="77777777" w:rsidR="000A4BF0" w:rsidRPr="004B03EA" w:rsidRDefault="000A4BF0" w:rsidP="000A4BF0">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Zostatková hodnota</w:t>
            </w:r>
          </w:p>
        </w:tc>
        <w:tc>
          <w:tcPr>
            <w:tcW w:w="1162" w:type="dxa"/>
            <w:shd w:val="clear" w:color="auto" w:fill="auto"/>
            <w:noWrap/>
            <w:vAlign w:val="center"/>
            <w:hideMark/>
          </w:tcPr>
          <w:p w14:paraId="10917514" w14:textId="6EE83D8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374528E1" w14:textId="5E8E121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733E0472" w14:textId="0B586A9A"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2" w:type="dxa"/>
            <w:shd w:val="clear" w:color="auto" w:fill="auto"/>
            <w:noWrap/>
            <w:vAlign w:val="center"/>
            <w:hideMark/>
          </w:tcPr>
          <w:p w14:paraId="2D3D78E9" w14:textId="59FE478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c>
          <w:tcPr>
            <w:tcW w:w="1163" w:type="dxa"/>
            <w:shd w:val="clear" w:color="auto" w:fill="auto"/>
            <w:noWrap/>
            <w:vAlign w:val="center"/>
            <w:hideMark/>
          </w:tcPr>
          <w:p w14:paraId="2A5440E9" w14:textId="0B0BA92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 </w:t>
            </w:r>
          </w:p>
        </w:tc>
      </w:tr>
      <w:tr w:rsidR="000A4BF0" w:rsidRPr="004B03EA" w14:paraId="29197BB7" w14:textId="77777777" w:rsidTr="00EF1CB7">
        <w:trPr>
          <w:trHeight w:val="240"/>
        </w:trPr>
        <w:tc>
          <w:tcPr>
            <w:tcW w:w="3256" w:type="dxa"/>
            <w:shd w:val="clear" w:color="auto" w:fill="BDD6EE" w:themeFill="accent1" w:themeFillTint="66"/>
            <w:noWrap/>
            <w:vAlign w:val="center"/>
            <w:hideMark/>
          </w:tcPr>
          <w:p w14:paraId="41A47E78" w14:textId="77777777" w:rsidR="000A4BF0" w:rsidRPr="004B03EA" w:rsidRDefault="000A4BF0" w:rsidP="000A4BF0">
            <w:pPr>
              <w:spacing w:before="0" w:after="0" w:line="240" w:lineRule="auto"/>
              <w:jc w:val="left"/>
              <w:rPr>
                <w:rFonts w:asciiTheme="minorHAnsi" w:hAnsiTheme="minorHAnsi" w:cs="Arial"/>
                <w:b/>
                <w:bCs/>
                <w:sz w:val="18"/>
                <w:szCs w:val="18"/>
              </w:rPr>
            </w:pPr>
            <w:r w:rsidRPr="004B03EA">
              <w:rPr>
                <w:rFonts w:asciiTheme="minorHAnsi" w:hAnsiTheme="minorHAnsi" w:cs="Arial"/>
                <w:b/>
                <w:bCs/>
                <w:sz w:val="18"/>
                <w:szCs w:val="18"/>
              </w:rPr>
              <w:t>Čisté peňažné toky</w:t>
            </w:r>
          </w:p>
        </w:tc>
        <w:tc>
          <w:tcPr>
            <w:tcW w:w="1162" w:type="dxa"/>
            <w:shd w:val="clear" w:color="auto" w:fill="BDD6EE" w:themeFill="accent1" w:themeFillTint="66"/>
            <w:noWrap/>
            <w:vAlign w:val="center"/>
            <w:hideMark/>
          </w:tcPr>
          <w:p w14:paraId="5E949F7A" w14:textId="59649767"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149 754 347</w:t>
            </w:r>
          </w:p>
        </w:tc>
        <w:tc>
          <w:tcPr>
            <w:tcW w:w="1162" w:type="dxa"/>
            <w:shd w:val="clear" w:color="auto" w:fill="BDD6EE" w:themeFill="accent1" w:themeFillTint="66"/>
            <w:noWrap/>
            <w:vAlign w:val="center"/>
            <w:hideMark/>
          </w:tcPr>
          <w:p w14:paraId="06B6FC04" w14:textId="031135A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175 240 731</w:t>
            </w:r>
          </w:p>
        </w:tc>
        <w:tc>
          <w:tcPr>
            <w:tcW w:w="1162" w:type="dxa"/>
            <w:shd w:val="clear" w:color="auto" w:fill="BDD6EE" w:themeFill="accent1" w:themeFillTint="66"/>
            <w:noWrap/>
            <w:vAlign w:val="center"/>
            <w:hideMark/>
          </w:tcPr>
          <w:p w14:paraId="34EEE01F" w14:textId="4643ABA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178 968 721</w:t>
            </w:r>
          </w:p>
        </w:tc>
        <w:tc>
          <w:tcPr>
            <w:tcW w:w="1162" w:type="dxa"/>
            <w:shd w:val="clear" w:color="auto" w:fill="BDD6EE" w:themeFill="accent1" w:themeFillTint="66"/>
            <w:noWrap/>
            <w:vAlign w:val="center"/>
            <w:hideMark/>
          </w:tcPr>
          <w:p w14:paraId="4B18E7B8" w14:textId="2D1CB55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181 785 234</w:t>
            </w:r>
          </w:p>
        </w:tc>
        <w:tc>
          <w:tcPr>
            <w:tcW w:w="1163" w:type="dxa"/>
            <w:shd w:val="clear" w:color="auto" w:fill="BDD6EE" w:themeFill="accent1" w:themeFillTint="66"/>
            <w:noWrap/>
            <w:vAlign w:val="center"/>
            <w:hideMark/>
          </w:tcPr>
          <w:p w14:paraId="157E4B3F" w14:textId="416546EF"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185 033 925</w:t>
            </w:r>
          </w:p>
        </w:tc>
      </w:tr>
    </w:tbl>
    <w:p w14:paraId="51ABEE6D" w14:textId="77777777" w:rsidR="005A7D49" w:rsidRDefault="005A7D49" w:rsidP="005A7D49"/>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4957"/>
        <w:gridCol w:w="4110"/>
      </w:tblGrid>
      <w:tr w:rsidR="00F6764A" w:rsidRPr="004B03EA" w14:paraId="215A438D" w14:textId="77777777" w:rsidTr="00366F12">
        <w:trPr>
          <w:trHeight w:val="240"/>
        </w:trPr>
        <w:tc>
          <w:tcPr>
            <w:tcW w:w="4957" w:type="dxa"/>
            <w:shd w:val="clear" w:color="auto" w:fill="DEEAF6" w:themeFill="accent1" w:themeFillTint="33"/>
            <w:noWrap/>
            <w:vAlign w:val="center"/>
            <w:hideMark/>
          </w:tcPr>
          <w:p w14:paraId="4BE6A85C" w14:textId="77777777" w:rsidR="00F6764A" w:rsidRPr="004B03EA" w:rsidRDefault="00F6764A" w:rsidP="00F6764A">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Finančná čistá súčasná hodnota investície (F</w:t>
            </w:r>
            <w:r>
              <w:rPr>
                <w:rFonts w:asciiTheme="minorHAnsi" w:hAnsiTheme="minorHAnsi" w:cs="Arial"/>
                <w:sz w:val="18"/>
                <w:szCs w:val="18"/>
              </w:rPr>
              <w:t>NPV</w:t>
            </w:r>
            <w:r w:rsidRPr="004B03EA">
              <w:rPr>
                <w:rFonts w:asciiTheme="minorHAnsi" w:hAnsiTheme="minorHAnsi" w:cs="Arial"/>
                <w:sz w:val="18"/>
                <w:szCs w:val="18"/>
              </w:rPr>
              <w:t>_C)</w:t>
            </w:r>
          </w:p>
        </w:tc>
        <w:tc>
          <w:tcPr>
            <w:tcW w:w="4110" w:type="dxa"/>
            <w:vAlign w:val="bottom"/>
          </w:tcPr>
          <w:p w14:paraId="2BEDF19C" w14:textId="12743FD6"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 xml:space="preserve">778 158 721 Eur </w:t>
            </w:r>
          </w:p>
        </w:tc>
      </w:tr>
      <w:tr w:rsidR="00F6764A" w:rsidRPr="004B03EA" w14:paraId="6D158F0A" w14:textId="77777777" w:rsidTr="00366F12">
        <w:trPr>
          <w:trHeight w:val="240"/>
        </w:trPr>
        <w:tc>
          <w:tcPr>
            <w:tcW w:w="4957" w:type="dxa"/>
            <w:shd w:val="clear" w:color="auto" w:fill="DEEAF6" w:themeFill="accent1" w:themeFillTint="33"/>
            <w:noWrap/>
            <w:vAlign w:val="center"/>
            <w:hideMark/>
          </w:tcPr>
          <w:p w14:paraId="1EDE2EB3" w14:textId="77777777" w:rsidR="00F6764A" w:rsidRPr="004B03EA" w:rsidRDefault="00F6764A" w:rsidP="00F6764A">
            <w:pPr>
              <w:spacing w:before="0" w:after="0" w:line="240" w:lineRule="auto"/>
              <w:jc w:val="left"/>
              <w:rPr>
                <w:rFonts w:asciiTheme="minorHAnsi" w:hAnsiTheme="minorHAnsi" w:cs="Arial"/>
                <w:sz w:val="18"/>
                <w:szCs w:val="18"/>
              </w:rPr>
            </w:pPr>
            <w:r w:rsidRPr="004B03EA">
              <w:rPr>
                <w:rFonts w:asciiTheme="minorHAnsi" w:hAnsiTheme="minorHAnsi" w:cs="Arial"/>
                <w:sz w:val="18"/>
                <w:szCs w:val="18"/>
              </w:rPr>
              <w:t>Finančné vnútorné výnosové percento investície  (FIRR_C)</w:t>
            </w:r>
          </w:p>
        </w:tc>
        <w:tc>
          <w:tcPr>
            <w:tcW w:w="4110" w:type="dxa"/>
            <w:vAlign w:val="bottom"/>
          </w:tcPr>
          <w:p w14:paraId="4BD929F9" w14:textId="10C1A825"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4511 %</w:t>
            </w:r>
          </w:p>
        </w:tc>
      </w:tr>
    </w:tbl>
    <w:p w14:paraId="6F1D7634" w14:textId="5AB99194" w:rsidR="005A7D49" w:rsidRDefault="005A7D49" w:rsidP="005A7D49">
      <w:r w:rsidRPr="00DA4343">
        <w:rPr>
          <w:i/>
          <w:sz w:val="16"/>
        </w:rPr>
        <w:t xml:space="preserve">Zdroj: Príloha </w:t>
      </w:r>
      <w:r w:rsidR="003E14E8">
        <w:rPr>
          <w:i/>
          <w:sz w:val="16"/>
        </w:rPr>
        <w:t>2</w:t>
      </w:r>
      <w:r w:rsidRPr="00DA4343">
        <w:rPr>
          <w:i/>
          <w:sz w:val="16"/>
        </w:rPr>
        <w:t xml:space="preserve">, hárok </w:t>
      </w:r>
      <w:r>
        <w:rPr>
          <w:i/>
          <w:sz w:val="16"/>
        </w:rPr>
        <w:t>06</w:t>
      </w:r>
    </w:p>
    <w:p w14:paraId="584CA798" w14:textId="77777777" w:rsidR="005A7D49" w:rsidRDefault="005A7D49" w:rsidP="005A7D49">
      <w:r>
        <w:lastRenderedPageBreak/>
        <w:t>Predmetom projektu je nástroj k zabezpečeniu výberu mýta, ktorý sám o sebe nevytvára hodnotu, iba zabezpečuje fiškálnu funkciu. V tomto kontexte je potrebné interpretovať údaje v kategórii „Príjmy“, ako aj odvodené ukazovatele čistej súčasnej hodnoty a vnútorného výnosového percenta.</w:t>
      </w:r>
    </w:p>
    <w:p w14:paraId="0FC6520E" w14:textId="77777777" w:rsidR="005A7D49" w:rsidRPr="007374FC" w:rsidRDefault="005A7D49" w:rsidP="005A7D49"/>
    <w:p w14:paraId="4646A2C6" w14:textId="77777777" w:rsidR="005A7D49" w:rsidRDefault="005A7D49" w:rsidP="00A40297">
      <w:pPr>
        <w:pStyle w:val="Heading4"/>
      </w:pPr>
      <w:r>
        <w:t>Čistá súčasná hodnota kapitálu</w:t>
      </w:r>
    </w:p>
    <w:p w14:paraId="1EDF6EE8" w14:textId="77777777" w:rsidR="005A7D49" w:rsidRDefault="005A7D49" w:rsidP="005A7D49">
      <w:r>
        <w:t>Financovanie projektu bude zabezpečené z vlastných zdrojov – priamo z vybraného mýta. Neuvažuje sa so splátkami úverov, ani s financovaním z fondov EÚ. Na základe hotovostných tokov bola stanovená čistá finančná súčasná hodnota kapitálu FNPV-K pri uvažovaní diskontnej sadzby 4,0 %. Zostatková hodnota na konci projektu je rovná nule.</w:t>
      </w:r>
    </w:p>
    <w:p w14:paraId="7CAE801C" w14:textId="7AFD8D8A"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48</w:t>
      </w:r>
      <w:r>
        <w:fldChar w:fldCharType="end"/>
      </w:r>
      <w:r>
        <w:t xml:space="preserve"> - Finančná čistá súčasná hodnota kapitálu, finančné toky v Eur</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56"/>
        <w:gridCol w:w="1162"/>
        <w:gridCol w:w="1162"/>
        <w:gridCol w:w="1162"/>
        <w:gridCol w:w="1162"/>
        <w:gridCol w:w="1163"/>
      </w:tblGrid>
      <w:tr w:rsidR="005A7D49" w:rsidRPr="00313F9C" w14:paraId="7984CD62" w14:textId="77777777" w:rsidTr="005A7D49">
        <w:trPr>
          <w:trHeight w:val="225"/>
        </w:trPr>
        <w:tc>
          <w:tcPr>
            <w:tcW w:w="3256" w:type="dxa"/>
            <w:shd w:val="clear" w:color="auto" w:fill="BDD6EE" w:themeFill="accent1" w:themeFillTint="66"/>
            <w:noWrap/>
            <w:vAlign w:val="center"/>
            <w:hideMark/>
          </w:tcPr>
          <w:p w14:paraId="4D75BD77" w14:textId="77777777" w:rsidR="005A7D49" w:rsidRPr="00CD5120" w:rsidRDefault="005A7D49" w:rsidP="005A7D49">
            <w:pPr>
              <w:spacing w:before="0" w:after="0" w:line="240" w:lineRule="auto"/>
              <w:jc w:val="left"/>
              <w:rPr>
                <w:rFonts w:asciiTheme="minorHAnsi" w:hAnsiTheme="minorHAnsi" w:cstheme="minorHAnsi"/>
                <w:b/>
                <w:bCs/>
                <w:sz w:val="18"/>
                <w:szCs w:val="18"/>
              </w:rPr>
            </w:pPr>
            <w:r w:rsidRPr="00CD5120">
              <w:rPr>
                <w:rFonts w:asciiTheme="minorHAnsi" w:hAnsiTheme="minorHAnsi" w:cstheme="minorHAnsi"/>
                <w:b/>
                <w:bCs/>
                <w:sz w:val="18"/>
                <w:szCs w:val="18"/>
              </w:rPr>
              <w:t>6.2 Finančná čistá súčasná hodnota kapitálu  (FNPV_K)</w:t>
            </w:r>
          </w:p>
        </w:tc>
        <w:tc>
          <w:tcPr>
            <w:tcW w:w="1162" w:type="dxa"/>
            <w:shd w:val="clear" w:color="auto" w:fill="BDD6EE" w:themeFill="accent1" w:themeFillTint="66"/>
            <w:noWrap/>
            <w:vAlign w:val="center"/>
            <w:hideMark/>
          </w:tcPr>
          <w:p w14:paraId="38F24B7B"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2022</w:t>
            </w:r>
          </w:p>
        </w:tc>
        <w:tc>
          <w:tcPr>
            <w:tcW w:w="1162" w:type="dxa"/>
            <w:shd w:val="clear" w:color="auto" w:fill="BDD6EE" w:themeFill="accent1" w:themeFillTint="66"/>
            <w:noWrap/>
            <w:vAlign w:val="center"/>
            <w:hideMark/>
          </w:tcPr>
          <w:p w14:paraId="424691F0"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2023</w:t>
            </w:r>
          </w:p>
        </w:tc>
        <w:tc>
          <w:tcPr>
            <w:tcW w:w="1162" w:type="dxa"/>
            <w:shd w:val="clear" w:color="auto" w:fill="BDD6EE" w:themeFill="accent1" w:themeFillTint="66"/>
            <w:noWrap/>
            <w:vAlign w:val="center"/>
            <w:hideMark/>
          </w:tcPr>
          <w:p w14:paraId="28597F61"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2024</w:t>
            </w:r>
          </w:p>
        </w:tc>
        <w:tc>
          <w:tcPr>
            <w:tcW w:w="1162" w:type="dxa"/>
            <w:shd w:val="clear" w:color="auto" w:fill="BDD6EE" w:themeFill="accent1" w:themeFillTint="66"/>
            <w:noWrap/>
            <w:vAlign w:val="center"/>
            <w:hideMark/>
          </w:tcPr>
          <w:p w14:paraId="0C7861E4"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2025</w:t>
            </w:r>
          </w:p>
        </w:tc>
        <w:tc>
          <w:tcPr>
            <w:tcW w:w="1163" w:type="dxa"/>
            <w:shd w:val="clear" w:color="auto" w:fill="BDD6EE" w:themeFill="accent1" w:themeFillTint="66"/>
            <w:noWrap/>
            <w:vAlign w:val="center"/>
            <w:hideMark/>
          </w:tcPr>
          <w:p w14:paraId="01501D68"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2026</w:t>
            </w:r>
          </w:p>
        </w:tc>
      </w:tr>
      <w:tr w:rsidR="000A4BF0" w:rsidRPr="00313F9C" w14:paraId="529A4CA1" w14:textId="77777777" w:rsidTr="006D3285">
        <w:trPr>
          <w:trHeight w:val="225"/>
        </w:trPr>
        <w:tc>
          <w:tcPr>
            <w:tcW w:w="3256" w:type="dxa"/>
            <w:shd w:val="clear" w:color="auto" w:fill="DEEAF6" w:themeFill="accent1" w:themeFillTint="33"/>
            <w:noWrap/>
            <w:vAlign w:val="center"/>
            <w:hideMark/>
          </w:tcPr>
          <w:p w14:paraId="76C8280E"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Vlastné financovanie</w:t>
            </w:r>
          </w:p>
        </w:tc>
        <w:tc>
          <w:tcPr>
            <w:tcW w:w="1162" w:type="dxa"/>
            <w:shd w:val="clear" w:color="auto" w:fill="auto"/>
            <w:noWrap/>
            <w:vAlign w:val="center"/>
            <w:hideMark/>
          </w:tcPr>
          <w:p w14:paraId="77B58569" w14:textId="109F8144"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3 412 479</w:t>
            </w:r>
          </w:p>
        </w:tc>
        <w:tc>
          <w:tcPr>
            <w:tcW w:w="1162" w:type="dxa"/>
            <w:shd w:val="clear" w:color="auto" w:fill="auto"/>
            <w:noWrap/>
            <w:vAlign w:val="center"/>
            <w:hideMark/>
          </w:tcPr>
          <w:p w14:paraId="09CC15BE" w14:textId="522EBF4E"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756AD297" w14:textId="666DF69D"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1E1DF061" w14:textId="239AD8BA"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0</w:t>
            </w:r>
          </w:p>
        </w:tc>
        <w:tc>
          <w:tcPr>
            <w:tcW w:w="1163" w:type="dxa"/>
            <w:shd w:val="clear" w:color="auto" w:fill="auto"/>
            <w:noWrap/>
            <w:vAlign w:val="center"/>
            <w:hideMark/>
          </w:tcPr>
          <w:p w14:paraId="7D9B8716" w14:textId="06791C6F" w:rsidR="000A4BF0" w:rsidRPr="00EF1CB7" w:rsidRDefault="000A4BF0" w:rsidP="006D3285">
            <w:pPr>
              <w:spacing w:before="0" w:after="0" w:line="240" w:lineRule="auto"/>
              <w:jc w:val="right"/>
              <w:rPr>
                <w:rFonts w:asciiTheme="minorHAnsi" w:hAnsiTheme="minorHAnsi" w:cstheme="minorHAnsi"/>
                <w:sz w:val="18"/>
                <w:szCs w:val="18"/>
              </w:rPr>
            </w:pPr>
            <w:r>
              <w:rPr>
                <w:rFonts w:cs="Arial"/>
                <w:sz w:val="16"/>
                <w:szCs w:val="16"/>
              </w:rPr>
              <w:t>0</w:t>
            </w:r>
          </w:p>
        </w:tc>
      </w:tr>
      <w:tr w:rsidR="00F6764A" w:rsidRPr="00313F9C" w14:paraId="7E5554DC" w14:textId="77777777" w:rsidTr="006D3285">
        <w:trPr>
          <w:trHeight w:val="225"/>
        </w:trPr>
        <w:tc>
          <w:tcPr>
            <w:tcW w:w="3256" w:type="dxa"/>
            <w:shd w:val="clear" w:color="auto" w:fill="DEEAF6" w:themeFill="accent1" w:themeFillTint="33"/>
            <w:noWrap/>
            <w:vAlign w:val="center"/>
            <w:hideMark/>
          </w:tcPr>
          <w:p w14:paraId="047A9D3A"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Prevádzkové výdavky</w:t>
            </w:r>
          </w:p>
        </w:tc>
        <w:tc>
          <w:tcPr>
            <w:tcW w:w="1162" w:type="dxa"/>
            <w:shd w:val="clear" w:color="auto" w:fill="auto"/>
            <w:noWrap/>
            <w:vAlign w:val="center"/>
            <w:hideMark/>
          </w:tcPr>
          <w:p w14:paraId="6EEE5A49" w14:textId="46CC3E7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80 190 285</w:t>
            </w:r>
          </w:p>
        </w:tc>
        <w:tc>
          <w:tcPr>
            <w:tcW w:w="1162" w:type="dxa"/>
            <w:shd w:val="clear" w:color="auto" w:fill="auto"/>
            <w:noWrap/>
            <w:vAlign w:val="center"/>
            <w:hideMark/>
          </w:tcPr>
          <w:p w14:paraId="490AA6C5" w14:textId="24848B5C"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69 635 752</w:t>
            </w:r>
          </w:p>
        </w:tc>
        <w:tc>
          <w:tcPr>
            <w:tcW w:w="1162" w:type="dxa"/>
            <w:shd w:val="clear" w:color="auto" w:fill="auto"/>
            <w:noWrap/>
            <w:vAlign w:val="center"/>
            <w:hideMark/>
          </w:tcPr>
          <w:p w14:paraId="38AC9DF9" w14:textId="0BE30A2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68 441 000</w:t>
            </w:r>
          </w:p>
        </w:tc>
        <w:tc>
          <w:tcPr>
            <w:tcW w:w="1162" w:type="dxa"/>
            <w:shd w:val="clear" w:color="auto" w:fill="auto"/>
            <w:noWrap/>
            <w:vAlign w:val="center"/>
            <w:hideMark/>
          </w:tcPr>
          <w:p w14:paraId="51351B18" w14:textId="20089FA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67 921 087</w:t>
            </w:r>
          </w:p>
        </w:tc>
        <w:tc>
          <w:tcPr>
            <w:tcW w:w="1163" w:type="dxa"/>
            <w:shd w:val="clear" w:color="auto" w:fill="auto"/>
            <w:noWrap/>
            <w:vAlign w:val="center"/>
            <w:hideMark/>
          </w:tcPr>
          <w:p w14:paraId="7D5D460D" w14:textId="05E1B9B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67 921 486</w:t>
            </w:r>
          </w:p>
        </w:tc>
      </w:tr>
      <w:tr w:rsidR="00F6764A" w:rsidRPr="00313F9C" w14:paraId="050E4672" w14:textId="77777777" w:rsidTr="006D3285">
        <w:trPr>
          <w:trHeight w:val="225"/>
        </w:trPr>
        <w:tc>
          <w:tcPr>
            <w:tcW w:w="3256" w:type="dxa"/>
            <w:shd w:val="clear" w:color="auto" w:fill="DEEAF6" w:themeFill="accent1" w:themeFillTint="33"/>
            <w:noWrap/>
            <w:vAlign w:val="center"/>
            <w:hideMark/>
          </w:tcPr>
          <w:p w14:paraId="2AA56ABE"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Splátky úverov</w:t>
            </w:r>
          </w:p>
        </w:tc>
        <w:tc>
          <w:tcPr>
            <w:tcW w:w="1162" w:type="dxa"/>
            <w:shd w:val="clear" w:color="auto" w:fill="auto"/>
            <w:noWrap/>
            <w:vAlign w:val="center"/>
            <w:hideMark/>
          </w:tcPr>
          <w:p w14:paraId="26FCC761" w14:textId="3F9D5D9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2" w:type="dxa"/>
            <w:shd w:val="clear" w:color="auto" w:fill="auto"/>
            <w:noWrap/>
            <w:vAlign w:val="center"/>
            <w:hideMark/>
          </w:tcPr>
          <w:p w14:paraId="4A798B3C" w14:textId="131D579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2" w:type="dxa"/>
            <w:shd w:val="clear" w:color="auto" w:fill="auto"/>
            <w:noWrap/>
            <w:vAlign w:val="center"/>
            <w:hideMark/>
          </w:tcPr>
          <w:p w14:paraId="33DF6313" w14:textId="67B5B92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2" w:type="dxa"/>
            <w:shd w:val="clear" w:color="auto" w:fill="auto"/>
            <w:noWrap/>
            <w:vAlign w:val="center"/>
            <w:hideMark/>
          </w:tcPr>
          <w:p w14:paraId="1BE8A76C" w14:textId="418D1F0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3" w:type="dxa"/>
            <w:shd w:val="clear" w:color="auto" w:fill="auto"/>
            <w:noWrap/>
            <w:vAlign w:val="center"/>
            <w:hideMark/>
          </w:tcPr>
          <w:p w14:paraId="476B93B4" w14:textId="5DED28A9"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r>
      <w:tr w:rsidR="00F6764A" w:rsidRPr="00313F9C" w14:paraId="038E43B7" w14:textId="77777777" w:rsidTr="006D3285">
        <w:trPr>
          <w:trHeight w:val="225"/>
        </w:trPr>
        <w:tc>
          <w:tcPr>
            <w:tcW w:w="3256" w:type="dxa"/>
            <w:shd w:val="clear" w:color="auto" w:fill="DEEAF6" w:themeFill="accent1" w:themeFillTint="33"/>
            <w:noWrap/>
            <w:vAlign w:val="center"/>
            <w:hideMark/>
          </w:tcPr>
          <w:p w14:paraId="0FB14607"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Príjmy</w:t>
            </w:r>
          </w:p>
        </w:tc>
        <w:tc>
          <w:tcPr>
            <w:tcW w:w="1162" w:type="dxa"/>
            <w:shd w:val="clear" w:color="auto" w:fill="auto"/>
            <w:noWrap/>
            <w:vAlign w:val="center"/>
            <w:hideMark/>
          </w:tcPr>
          <w:p w14:paraId="1ED84061" w14:textId="6E3DCDA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233 655 755</w:t>
            </w:r>
          </w:p>
        </w:tc>
        <w:tc>
          <w:tcPr>
            <w:tcW w:w="1162" w:type="dxa"/>
            <w:shd w:val="clear" w:color="auto" w:fill="auto"/>
            <w:noWrap/>
            <w:vAlign w:val="center"/>
            <w:hideMark/>
          </w:tcPr>
          <w:p w14:paraId="692A87CD" w14:textId="5407A64F"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245 504 057</w:t>
            </w:r>
          </w:p>
        </w:tc>
        <w:tc>
          <w:tcPr>
            <w:tcW w:w="1162" w:type="dxa"/>
            <w:shd w:val="clear" w:color="auto" w:fill="auto"/>
            <w:noWrap/>
            <w:vAlign w:val="center"/>
            <w:hideMark/>
          </w:tcPr>
          <w:p w14:paraId="1FA8B704" w14:textId="4483FD57"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248 712 141</w:t>
            </w:r>
          </w:p>
        </w:tc>
        <w:tc>
          <w:tcPr>
            <w:tcW w:w="1162" w:type="dxa"/>
            <w:shd w:val="clear" w:color="auto" w:fill="auto"/>
            <w:noWrap/>
            <w:vAlign w:val="center"/>
            <w:hideMark/>
          </w:tcPr>
          <w:p w14:paraId="2681CB61" w14:textId="169AC7E0"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251 653 366</w:t>
            </w:r>
          </w:p>
        </w:tc>
        <w:tc>
          <w:tcPr>
            <w:tcW w:w="1163" w:type="dxa"/>
            <w:shd w:val="clear" w:color="auto" w:fill="auto"/>
            <w:noWrap/>
            <w:vAlign w:val="center"/>
            <w:hideMark/>
          </w:tcPr>
          <w:p w14:paraId="5C64012F" w14:textId="4AF2AAF9"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255 239 016</w:t>
            </w:r>
          </w:p>
        </w:tc>
      </w:tr>
      <w:tr w:rsidR="00F6764A" w:rsidRPr="00313F9C" w14:paraId="036B01C2" w14:textId="77777777" w:rsidTr="006D3285">
        <w:trPr>
          <w:trHeight w:val="240"/>
        </w:trPr>
        <w:tc>
          <w:tcPr>
            <w:tcW w:w="3256" w:type="dxa"/>
            <w:shd w:val="clear" w:color="auto" w:fill="DEEAF6" w:themeFill="accent1" w:themeFillTint="33"/>
            <w:noWrap/>
            <w:vAlign w:val="center"/>
            <w:hideMark/>
          </w:tcPr>
          <w:p w14:paraId="03C87C94"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Zostatková hodnota</w:t>
            </w:r>
          </w:p>
        </w:tc>
        <w:tc>
          <w:tcPr>
            <w:tcW w:w="1162" w:type="dxa"/>
            <w:shd w:val="clear" w:color="auto" w:fill="auto"/>
            <w:noWrap/>
            <w:vAlign w:val="center"/>
            <w:hideMark/>
          </w:tcPr>
          <w:p w14:paraId="3D5FFCFA" w14:textId="5A96010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62" w:type="dxa"/>
            <w:shd w:val="clear" w:color="auto" w:fill="auto"/>
            <w:noWrap/>
            <w:vAlign w:val="center"/>
            <w:hideMark/>
          </w:tcPr>
          <w:p w14:paraId="2678DA0A" w14:textId="47B32D7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62" w:type="dxa"/>
            <w:shd w:val="clear" w:color="auto" w:fill="auto"/>
            <w:noWrap/>
            <w:vAlign w:val="center"/>
            <w:hideMark/>
          </w:tcPr>
          <w:p w14:paraId="05517599" w14:textId="3FE3C44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62" w:type="dxa"/>
            <w:shd w:val="clear" w:color="auto" w:fill="auto"/>
            <w:noWrap/>
            <w:vAlign w:val="center"/>
            <w:hideMark/>
          </w:tcPr>
          <w:p w14:paraId="21191865" w14:textId="1FED014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63" w:type="dxa"/>
            <w:shd w:val="clear" w:color="auto" w:fill="auto"/>
            <w:noWrap/>
            <w:vAlign w:val="center"/>
            <w:hideMark/>
          </w:tcPr>
          <w:p w14:paraId="5AC99BCE" w14:textId="6255D5F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r>
      <w:tr w:rsidR="00F6764A" w:rsidRPr="00313F9C" w14:paraId="0AC2B49F" w14:textId="77777777" w:rsidTr="006D3285">
        <w:trPr>
          <w:trHeight w:val="240"/>
        </w:trPr>
        <w:tc>
          <w:tcPr>
            <w:tcW w:w="3256" w:type="dxa"/>
            <w:shd w:val="clear" w:color="auto" w:fill="BDD6EE" w:themeFill="accent1" w:themeFillTint="66"/>
            <w:noWrap/>
            <w:vAlign w:val="center"/>
            <w:hideMark/>
          </w:tcPr>
          <w:p w14:paraId="3B2F33BD" w14:textId="77777777" w:rsidR="00F6764A" w:rsidRPr="001F4096" w:rsidRDefault="00F6764A" w:rsidP="00F6764A">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Čisté peňažné toky</w:t>
            </w:r>
          </w:p>
        </w:tc>
        <w:tc>
          <w:tcPr>
            <w:tcW w:w="1162" w:type="dxa"/>
            <w:shd w:val="clear" w:color="auto" w:fill="BDD6EE" w:themeFill="accent1" w:themeFillTint="66"/>
            <w:noWrap/>
            <w:vAlign w:val="center"/>
            <w:hideMark/>
          </w:tcPr>
          <w:p w14:paraId="1CE09F59" w14:textId="11FDEC74"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150 052 990</w:t>
            </w:r>
          </w:p>
        </w:tc>
        <w:tc>
          <w:tcPr>
            <w:tcW w:w="1162" w:type="dxa"/>
            <w:shd w:val="clear" w:color="auto" w:fill="BDD6EE" w:themeFill="accent1" w:themeFillTint="66"/>
            <w:noWrap/>
            <w:vAlign w:val="center"/>
            <w:hideMark/>
          </w:tcPr>
          <w:p w14:paraId="704DC9F5" w14:textId="5564C673"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175 868 305</w:t>
            </w:r>
          </w:p>
        </w:tc>
        <w:tc>
          <w:tcPr>
            <w:tcW w:w="1162" w:type="dxa"/>
            <w:shd w:val="clear" w:color="auto" w:fill="BDD6EE" w:themeFill="accent1" w:themeFillTint="66"/>
            <w:noWrap/>
            <w:vAlign w:val="center"/>
            <w:hideMark/>
          </w:tcPr>
          <w:p w14:paraId="7349B7C8" w14:textId="161E1F58"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180 271 141</w:t>
            </w:r>
          </w:p>
        </w:tc>
        <w:tc>
          <w:tcPr>
            <w:tcW w:w="1162" w:type="dxa"/>
            <w:shd w:val="clear" w:color="auto" w:fill="BDD6EE" w:themeFill="accent1" w:themeFillTint="66"/>
            <w:noWrap/>
            <w:vAlign w:val="center"/>
            <w:hideMark/>
          </w:tcPr>
          <w:p w14:paraId="6E1C768E" w14:textId="1CA5263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183 732 279</w:t>
            </w:r>
          </w:p>
        </w:tc>
        <w:tc>
          <w:tcPr>
            <w:tcW w:w="1163" w:type="dxa"/>
            <w:shd w:val="clear" w:color="auto" w:fill="BDD6EE" w:themeFill="accent1" w:themeFillTint="66"/>
            <w:noWrap/>
            <w:vAlign w:val="center"/>
            <w:hideMark/>
          </w:tcPr>
          <w:p w14:paraId="54FD0C03" w14:textId="06B8157A"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187 317 530</w:t>
            </w:r>
          </w:p>
        </w:tc>
      </w:tr>
    </w:tbl>
    <w:p w14:paraId="6A97EFF5" w14:textId="77777777" w:rsidR="005A7D49" w:rsidRPr="005A7D49" w:rsidRDefault="005A7D49" w:rsidP="005A7D49">
      <w:pPr>
        <w:rPr>
          <w:rFonts w:asciiTheme="minorHAnsi" w:hAnsiTheme="minorHAnsi" w:cstheme="minorHAnsi"/>
          <w:sz w:val="18"/>
          <w:szCs w:val="18"/>
        </w:rPr>
      </w:pP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4957"/>
        <w:gridCol w:w="4110"/>
      </w:tblGrid>
      <w:tr w:rsidR="00F6764A" w:rsidRPr="00313F9C" w14:paraId="29FB3891" w14:textId="77777777" w:rsidTr="00366F12">
        <w:trPr>
          <w:trHeight w:val="240"/>
        </w:trPr>
        <w:tc>
          <w:tcPr>
            <w:tcW w:w="4957" w:type="dxa"/>
            <w:shd w:val="clear" w:color="auto" w:fill="DEEAF6" w:themeFill="accent1" w:themeFillTint="33"/>
            <w:noWrap/>
            <w:vAlign w:val="center"/>
            <w:hideMark/>
          </w:tcPr>
          <w:p w14:paraId="61DD6CAF"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Finančná čistá súčasná hodnota kapitálu (FNPV_K)</w:t>
            </w:r>
          </w:p>
        </w:tc>
        <w:tc>
          <w:tcPr>
            <w:tcW w:w="4110" w:type="dxa"/>
            <w:vAlign w:val="bottom"/>
          </w:tcPr>
          <w:p w14:paraId="2D446CCF" w14:textId="5E6D8214"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 xml:space="preserve">778 158 721 Eur </w:t>
            </w:r>
          </w:p>
        </w:tc>
      </w:tr>
      <w:tr w:rsidR="00F6764A" w:rsidRPr="00313F9C" w14:paraId="2096DAF0" w14:textId="77777777" w:rsidTr="00366F12">
        <w:trPr>
          <w:trHeight w:val="240"/>
        </w:trPr>
        <w:tc>
          <w:tcPr>
            <w:tcW w:w="4957" w:type="dxa"/>
            <w:shd w:val="clear" w:color="auto" w:fill="DEEAF6" w:themeFill="accent1" w:themeFillTint="33"/>
            <w:noWrap/>
            <w:vAlign w:val="center"/>
            <w:hideMark/>
          </w:tcPr>
          <w:p w14:paraId="25B5E6BF"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Finančné vnútorné výnosové percento kapitálu (FIRR_K)</w:t>
            </w:r>
          </w:p>
        </w:tc>
        <w:tc>
          <w:tcPr>
            <w:tcW w:w="4110" w:type="dxa"/>
            <w:vAlign w:val="bottom"/>
          </w:tcPr>
          <w:p w14:paraId="1C7F437C" w14:textId="2A242A09"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4511 %</w:t>
            </w:r>
          </w:p>
        </w:tc>
      </w:tr>
    </w:tbl>
    <w:p w14:paraId="5659DA90" w14:textId="0F4A6832" w:rsidR="005A7D49" w:rsidRDefault="005A7D49" w:rsidP="005A7D49">
      <w:pPr>
        <w:rPr>
          <w:i/>
          <w:sz w:val="16"/>
        </w:rPr>
      </w:pPr>
      <w:r w:rsidRPr="00DA4343">
        <w:rPr>
          <w:i/>
          <w:sz w:val="16"/>
        </w:rPr>
        <w:t xml:space="preserve">Zdroj: Príloha </w:t>
      </w:r>
      <w:r w:rsidR="003E14E8">
        <w:rPr>
          <w:i/>
          <w:sz w:val="16"/>
        </w:rPr>
        <w:t>2</w:t>
      </w:r>
      <w:r w:rsidRPr="00DA4343">
        <w:rPr>
          <w:i/>
          <w:sz w:val="16"/>
        </w:rPr>
        <w:t xml:space="preserve">, hárok </w:t>
      </w:r>
      <w:r>
        <w:rPr>
          <w:i/>
          <w:sz w:val="16"/>
        </w:rPr>
        <w:t>06</w:t>
      </w:r>
    </w:p>
    <w:p w14:paraId="3518808F" w14:textId="77777777" w:rsidR="003E14E8" w:rsidRDefault="003E14E8" w:rsidP="005A7D49"/>
    <w:p w14:paraId="5022BB0D" w14:textId="77777777" w:rsidR="005A7D49" w:rsidRDefault="005A7D49" w:rsidP="00A40297">
      <w:pPr>
        <w:pStyle w:val="Heading4"/>
      </w:pPr>
      <w:r>
        <w:t>Finančná udržateľnosť</w:t>
      </w:r>
    </w:p>
    <w:p w14:paraId="5F6EBB69" w14:textId="6B849DEB" w:rsidR="005A7D49" w:rsidRDefault="005A7D49" w:rsidP="005A7D49">
      <w:r>
        <w:t xml:space="preserve">Ako bolo uvedené v čl. </w:t>
      </w:r>
      <w:r>
        <w:fldChar w:fldCharType="begin"/>
      </w:r>
      <w:r>
        <w:instrText xml:space="preserve"> REF _Ref72310400 \r \p \h </w:instrText>
      </w:r>
      <w:r>
        <w:fldChar w:fldCharType="separate"/>
      </w:r>
      <w:r w:rsidR="00A86720">
        <w:t>8.2.3 vyššie</w:t>
      </w:r>
      <w:r>
        <w:fldChar w:fldCharType="end"/>
      </w:r>
      <w:r>
        <w:t>, financovanie projektu bude zabezpečené z vlastných zdrojov – priamo z vybraného mýta. Neuvažuje sa so splátkami úverov, ani s financovaním z fondov EÚ. Projekt je finančne udržateľný a finančná medzera je nulová.</w:t>
      </w:r>
    </w:p>
    <w:p w14:paraId="3618953E" w14:textId="50F00796"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49</w:t>
      </w:r>
      <w:r>
        <w:fldChar w:fldCharType="end"/>
      </w:r>
      <w:r>
        <w:t xml:space="preserve"> - Finančná udržateľnosť</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56"/>
        <w:gridCol w:w="1162"/>
        <w:gridCol w:w="1162"/>
        <w:gridCol w:w="1162"/>
        <w:gridCol w:w="1162"/>
        <w:gridCol w:w="1163"/>
      </w:tblGrid>
      <w:tr w:rsidR="005A7D49" w:rsidRPr="00313F9C" w14:paraId="55466E64" w14:textId="77777777" w:rsidTr="005A7D49">
        <w:trPr>
          <w:trHeight w:val="225"/>
        </w:trPr>
        <w:tc>
          <w:tcPr>
            <w:tcW w:w="3256" w:type="dxa"/>
            <w:shd w:val="clear" w:color="auto" w:fill="BDD6EE" w:themeFill="accent1" w:themeFillTint="66"/>
            <w:noWrap/>
            <w:vAlign w:val="center"/>
            <w:hideMark/>
          </w:tcPr>
          <w:p w14:paraId="68224D27" w14:textId="77777777" w:rsidR="005A7D49" w:rsidRPr="00CD5120" w:rsidRDefault="005A7D49" w:rsidP="005A7D49">
            <w:pPr>
              <w:spacing w:before="0" w:after="0" w:line="240" w:lineRule="auto"/>
              <w:jc w:val="left"/>
              <w:rPr>
                <w:rFonts w:asciiTheme="minorHAnsi" w:hAnsiTheme="minorHAnsi" w:cstheme="minorHAnsi"/>
                <w:b/>
                <w:bCs/>
                <w:sz w:val="18"/>
                <w:szCs w:val="18"/>
              </w:rPr>
            </w:pPr>
            <w:r w:rsidRPr="00CD5120">
              <w:rPr>
                <w:rFonts w:asciiTheme="minorHAnsi" w:hAnsiTheme="minorHAnsi" w:cstheme="minorHAnsi"/>
                <w:b/>
                <w:bCs/>
                <w:sz w:val="18"/>
                <w:szCs w:val="18"/>
              </w:rPr>
              <w:t xml:space="preserve">6.3 Finančná udržateľnosť </w:t>
            </w:r>
          </w:p>
        </w:tc>
        <w:tc>
          <w:tcPr>
            <w:tcW w:w="1162" w:type="dxa"/>
            <w:shd w:val="clear" w:color="auto" w:fill="BDD6EE" w:themeFill="accent1" w:themeFillTint="66"/>
            <w:noWrap/>
            <w:vAlign w:val="center"/>
            <w:hideMark/>
          </w:tcPr>
          <w:p w14:paraId="06F6C503"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2022</w:t>
            </w:r>
          </w:p>
        </w:tc>
        <w:tc>
          <w:tcPr>
            <w:tcW w:w="1162" w:type="dxa"/>
            <w:shd w:val="clear" w:color="auto" w:fill="BDD6EE" w:themeFill="accent1" w:themeFillTint="66"/>
            <w:noWrap/>
            <w:vAlign w:val="center"/>
            <w:hideMark/>
          </w:tcPr>
          <w:p w14:paraId="43F0B086"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2023</w:t>
            </w:r>
          </w:p>
        </w:tc>
        <w:tc>
          <w:tcPr>
            <w:tcW w:w="1162" w:type="dxa"/>
            <w:shd w:val="clear" w:color="auto" w:fill="BDD6EE" w:themeFill="accent1" w:themeFillTint="66"/>
            <w:noWrap/>
            <w:vAlign w:val="center"/>
            <w:hideMark/>
          </w:tcPr>
          <w:p w14:paraId="03B0D382"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2024</w:t>
            </w:r>
          </w:p>
        </w:tc>
        <w:tc>
          <w:tcPr>
            <w:tcW w:w="1162" w:type="dxa"/>
            <w:shd w:val="clear" w:color="auto" w:fill="BDD6EE" w:themeFill="accent1" w:themeFillTint="66"/>
            <w:noWrap/>
            <w:vAlign w:val="center"/>
            <w:hideMark/>
          </w:tcPr>
          <w:p w14:paraId="31AED900"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2025</w:t>
            </w:r>
          </w:p>
        </w:tc>
        <w:tc>
          <w:tcPr>
            <w:tcW w:w="1163" w:type="dxa"/>
            <w:shd w:val="clear" w:color="auto" w:fill="BDD6EE" w:themeFill="accent1" w:themeFillTint="66"/>
            <w:noWrap/>
            <w:vAlign w:val="center"/>
            <w:hideMark/>
          </w:tcPr>
          <w:p w14:paraId="1BC7A660" w14:textId="77777777" w:rsidR="005A7D49" w:rsidRPr="00CD5120" w:rsidRDefault="005A7D49" w:rsidP="005A7D49">
            <w:pPr>
              <w:spacing w:before="0" w:after="0" w:line="240" w:lineRule="auto"/>
              <w:jc w:val="center"/>
              <w:rPr>
                <w:rFonts w:asciiTheme="minorHAnsi" w:hAnsiTheme="minorHAnsi" w:cstheme="minorHAnsi"/>
                <w:iCs/>
                <w:sz w:val="18"/>
                <w:szCs w:val="18"/>
              </w:rPr>
            </w:pPr>
            <w:r w:rsidRPr="00CD5120">
              <w:rPr>
                <w:rFonts w:asciiTheme="minorHAnsi" w:hAnsiTheme="minorHAnsi" w:cstheme="minorHAnsi"/>
                <w:iCs/>
                <w:sz w:val="18"/>
                <w:szCs w:val="18"/>
              </w:rPr>
              <w:t>2026</w:t>
            </w:r>
          </w:p>
        </w:tc>
      </w:tr>
      <w:tr w:rsidR="000A4BF0" w:rsidRPr="00313F9C" w14:paraId="72E2B28F" w14:textId="77777777" w:rsidTr="00EF1CB7">
        <w:trPr>
          <w:trHeight w:val="225"/>
        </w:trPr>
        <w:tc>
          <w:tcPr>
            <w:tcW w:w="3256" w:type="dxa"/>
            <w:shd w:val="clear" w:color="auto" w:fill="DEEAF6" w:themeFill="accent1" w:themeFillTint="33"/>
            <w:noWrap/>
            <w:vAlign w:val="center"/>
            <w:hideMark/>
          </w:tcPr>
          <w:p w14:paraId="0A05D10B"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Finančné zdroje</w:t>
            </w:r>
          </w:p>
        </w:tc>
        <w:tc>
          <w:tcPr>
            <w:tcW w:w="1162" w:type="dxa"/>
            <w:shd w:val="clear" w:color="auto" w:fill="auto"/>
            <w:noWrap/>
            <w:vAlign w:val="center"/>
            <w:hideMark/>
          </w:tcPr>
          <w:p w14:paraId="1C3136E4" w14:textId="48A19841" w:rsidR="000A4BF0" w:rsidRPr="00EF1CB7" w:rsidRDefault="000A4BF0" w:rsidP="000A4BF0">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0</w:t>
            </w:r>
          </w:p>
        </w:tc>
        <w:tc>
          <w:tcPr>
            <w:tcW w:w="1162" w:type="dxa"/>
            <w:shd w:val="clear" w:color="auto" w:fill="auto"/>
            <w:noWrap/>
            <w:vAlign w:val="center"/>
            <w:hideMark/>
          </w:tcPr>
          <w:p w14:paraId="27137C88" w14:textId="7A5AC363" w:rsidR="000A4BF0" w:rsidRPr="00EF1CB7" w:rsidRDefault="000A4BF0" w:rsidP="000A4BF0">
            <w:pPr>
              <w:spacing w:before="0" w:after="0" w:line="240" w:lineRule="auto"/>
              <w:jc w:val="right"/>
              <w:rPr>
                <w:rFonts w:asciiTheme="minorHAnsi" w:hAnsiTheme="minorHAnsi" w:cstheme="minorHAnsi"/>
                <w:sz w:val="18"/>
                <w:szCs w:val="18"/>
              </w:rPr>
            </w:pPr>
            <w:r w:rsidRPr="0088510C">
              <w:rPr>
                <w:rFonts w:asciiTheme="minorHAnsi" w:hAnsiTheme="minorHAnsi" w:cstheme="minorHAnsi"/>
                <w:sz w:val="18"/>
                <w:szCs w:val="18"/>
              </w:rPr>
              <w:t>0</w:t>
            </w:r>
          </w:p>
        </w:tc>
        <w:tc>
          <w:tcPr>
            <w:tcW w:w="1162" w:type="dxa"/>
            <w:shd w:val="clear" w:color="auto" w:fill="auto"/>
            <w:noWrap/>
            <w:vAlign w:val="center"/>
            <w:hideMark/>
          </w:tcPr>
          <w:p w14:paraId="319D2D9F" w14:textId="07069BA3" w:rsidR="000A4BF0" w:rsidRPr="00EF1CB7" w:rsidRDefault="000A4BF0" w:rsidP="000A4BF0">
            <w:pPr>
              <w:spacing w:before="0" w:after="0" w:line="240" w:lineRule="auto"/>
              <w:jc w:val="right"/>
              <w:rPr>
                <w:rFonts w:asciiTheme="minorHAnsi" w:hAnsiTheme="minorHAnsi" w:cstheme="minorHAnsi"/>
                <w:sz w:val="18"/>
                <w:szCs w:val="18"/>
              </w:rPr>
            </w:pPr>
            <w:r w:rsidRPr="0088510C">
              <w:rPr>
                <w:rFonts w:asciiTheme="minorHAnsi" w:hAnsiTheme="minorHAnsi" w:cstheme="minorHAnsi"/>
                <w:sz w:val="18"/>
                <w:szCs w:val="18"/>
              </w:rPr>
              <w:t>0</w:t>
            </w:r>
          </w:p>
        </w:tc>
        <w:tc>
          <w:tcPr>
            <w:tcW w:w="1162" w:type="dxa"/>
            <w:shd w:val="clear" w:color="auto" w:fill="auto"/>
            <w:noWrap/>
            <w:vAlign w:val="center"/>
            <w:hideMark/>
          </w:tcPr>
          <w:p w14:paraId="75EBF9C9" w14:textId="238D7AA2" w:rsidR="000A4BF0" w:rsidRPr="00EF1CB7" w:rsidRDefault="000A4BF0" w:rsidP="000A4BF0">
            <w:pPr>
              <w:spacing w:before="0" w:after="0" w:line="240" w:lineRule="auto"/>
              <w:jc w:val="right"/>
              <w:rPr>
                <w:rFonts w:asciiTheme="minorHAnsi" w:hAnsiTheme="minorHAnsi" w:cstheme="minorHAnsi"/>
                <w:sz w:val="18"/>
                <w:szCs w:val="18"/>
              </w:rPr>
            </w:pPr>
            <w:r w:rsidRPr="0088510C">
              <w:rPr>
                <w:rFonts w:asciiTheme="minorHAnsi" w:hAnsiTheme="minorHAnsi" w:cstheme="minorHAnsi"/>
                <w:sz w:val="18"/>
                <w:szCs w:val="18"/>
              </w:rPr>
              <w:t>0</w:t>
            </w:r>
          </w:p>
        </w:tc>
        <w:tc>
          <w:tcPr>
            <w:tcW w:w="1163" w:type="dxa"/>
            <w:shd w:val="clear" w:color="auto" w:fill="auto"/>
            <w:noWrap/>
            <w:vAlign w:val="center"/>
            <w:hideMark/>
          </w:tcPr>
          <w:p w14:paraId="78DA89BB" w14:textId="05A65818" w:rsidR="000A4BF0" w:rsidRPr="00EF1CB7" w:rsidRDefault="000A4BF0" w:rsidP="000A4BF0">
            <w:pPr>
              <w:spacing w:before="0" w:after="0" w:line="240" w:lineRule="auto"/>
              <w:jc w:val="right"/>
              <w:rPr>
                <w:rFonts w:asciiTheme="minorHAnsi" w:hAnsiTheme="minorHAnsi" w:cstheme="minorHAnsi"/>
                <w:sz w:val="18"/>
                <w:szCs w:val="18"/>
              </w:rPr>
            </w:pPr>
            <w:r w:rsidRPr="0088510C">
              <w:rPr>
                <w:rFonts w:asciiTheme="minorHAnsi" w:hAnsiTheme="minorHAnsi" w:cstheme="minorHAnsi"/>
                <w:sz w:val="18"/>
                <w:szCs w:val="18"/>
              </w:rPr>
              <w:t>0</w:t>
            </w:r>
          </w:p>
        </w:tc>
      </w:tr>
      <w:tr w:rsidR="000A4BF0" w:rsidRPr="00313F9C" w14:paraId="110D4036" w14:textId="77777777" w:rsidTr="00EF1CB7">
        <w:trPr>
          <w:trHeight w:val="225"/>
        </w:trPr>
        <w:tc>
          <w:tcPr>
            <w:tcW w:w="3256" w:type="dxa"/>
            <w:shd w:val="clear" w:color="auto" w:fill="DEEAF6" w:themeFill="accent1" w:themeFillTint="33"/>
            <w:noWrap/>
            <w:vAlign w:val="center"/>
            <w:hideMark/>
          </w:tcPr>
          <w:p w14:paraId="7DE8F9E1"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Príjmy</w:t>
            </w:r>
          </w:p>
        </w:tc>
        <w:tc>
          <w:tcPr>
            <w:tcW w:w="1162" w:type="dxa"/>
            <w:shd w:val="clear" w:color="auto" w:fill="auto"/>
            <w:noWrap/>
            <w:vAlign w:val="center"/>
            <w:hideMark/>
          </w:tcPr>
          <w:p w14:paraId="6DC71629" w14:textId="598E4FE2" w:rsidR="000A4BF0" w:rsidRPr="00EF1CB7" w:rsidRDefault="000A4BF0" w:rsidP="000A4BF0">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233 655 755</w:t>
            </w:r>
          </w:p>
        </w:tc>
        <w:tc>
          <w:tcPr>
            <w:tcW w:w="1162" w:type="dxa"/>
            <w:shd w:val="clear" w:color="auto" w:fill="auto"/>
            <w:noWrap/>
            <w:vAlign w:val="center"/>
            <w:hideMark/>
          </w:tcPr>
          <w:p w14:paraId="09AA129E" w14:textId="439B6FA9" w:rsidR="000A4BF0" w:rsidRPr="00EF1CB7" w:rsidRDefault="000A4BF0" w:rsidP="000A4BF0">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245 504 057</w:t>
            </w:r>
          </w:p>
        </w:tc>
        <w:tc>
          <w:tcPr>
            <w:tcW w:w="1162" w:type="dxa"/>
            <w:shd w:val="clear" w:color="auto" w:fill="auto"/>
            <w:noWrap/>
            <w:vAlign w:val="center"/>
            <w:hideMark/>
          </w:tcPr>
          <w:p w14:paraId="5C98E447" w14:textId="3D178913" w:rsidR="000A4BF0" w:rsidRPr="00EF1CB7" w:rsidRDefault="000A4BF0" w:rsidP="000A4BF0">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248 712 141</w:t>
            </w:r>
          </w:p>
        </w:tc>
        <w:tc>
          <w:tcPr>
            <w:tcW w:w="1162" w:type="dxa"/>
            <w:shd w:val="clear" w:color="auto" w:fill="auto"/>
            <w:noWrap/>
            <w:vAlign w:val="center"/>
            <w:hideMark/>
          </w:tcPr>
          <w:p w14:paraId="707A706D" w14:textId="4AF28035" w:rsidR="000A4BF0" w:rsidRPr="00EF1CB7" w:rsidRDefault="000A4BF0" w:rsidP="000A4BF0">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251 653 366</w:t>
            </w:r>
          </w:p>
        </w:tc>
        <w:tc>
          <w:tcPr>
            <w:tcW w:w="1163" w:type="dxa"/>
            <w:shd w:val="clear" w:color="auto" w:fill="auto"/>
            <w:noWrap/>
            <w:vAlign w:val="center"/>
            <w:hideMark/>
          </w:tcPr>
          <w:p w14:paraId="2437F05F" w14:textId="542D5715" w:rsidR="000A4BF0" w:rsidRPr="00EF1CB7" w:rsidRDefault="000A4BF0" w:rsidP="000A4BF0">
            <w:pPr>
              <w:spacing w:before="0" w:after="0" w:line="240" w:lineRule="auto"/>
              <w:jc w:val="right"/>
              <w:rPr>
                <w:rFonts w:asciiTheme="minorHAnsi" w:hAnsiTheme="minorHAnsi" w:cstheme="minorHAnsi"/>
                <w:sz w:val="18"/>
                <w:szCs w:val="18"/>
              </w:rPr>
            </w:pPr>
            <w:r w:rsidRPr="00EF1CB7">
              <w:rPr>
                <w:rFonts w:asciiTheme="minorHAnsi" w:hAnsiTheme="minorHAnsi" w:cstheme="minorHAnsi"/>
                <w:sz w:val="18"/>
                <w:szCs w:val="18"/>
              </w:rPr>
              <w:t>255 239 016</w:t>
            </w:r>
          </w:p>
        </w:tc>
      </w:tr>
      <w:tr w:rsidR="000A4BF0" w:rsidRPr="00313F9C" w14:paraId="6B4FF57F" w14:textId="77777777" w:rsidTr="00EF1CB7">
        <w:trPr>
          <w:trHeight w:val="225"/>
        </w:trPr>
        <w:tc>
          <w:tcPr>
            <w:tcW w:w="3256" w:type="dxa"/>
            <w:shd w:val="clear" w:color="auto" w:fill="BDD6EE" w:themeFill="accent1" w:themeFillTint="66"/>
            <w:noWrap/>
            <w:vAlign w:val="center"/>
            <w:hideMark/>
          </w:tcPr>
          <w:p w14:paraId="446506F9" w14:textId="77777777" w:rsidR="000A4BF0" w:rsidRPr="001F4096" w:rsidRDefault="000A4BF0" w:rsidP="000A4BF0">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Celkové príjmy</w:t>
            </w:r>
          </w:p>
        </w:tc>
        <w:tc>
          <w:tcPr>
            <w:tcW w:w="1162" w:type="dxa"/>
            <w:shd w:val="clear" w:color="auto" w:fill="BDD6EE" w:themeFill="accent1" w:themeFillTint="66"/>
            <w:noWrap/>
            <w:vAlign w:val="center"/>
            <w:hideMark/>
          </w:tcPr>
          <w:p w14:paraId="72C95080" w14:textId="6A7294B2" w:rsidR="000A4BF0" w:rsidRPr="00EF1CB7" w:rsidRDefault="000A4BF0" w:rsidP="000A4BF0">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233 655 755</w:t>
            </w:r>
          </w:p>
        </w:tc>
        <w:tc>
          <w:tcPr>
            <w:tcW w:w="1162" w:type="dxa"/>
            <w:shd w:val="clear" w:color="auto" w:fill="BDD6EE" w:themeFill="accent1" w:themeFillTint="66"/>
            <w:noWrap/>
            <w:vAlign w:val="center"/>
            <w:hideMark/>
          </w:tcPr>
          <w:p w14:paraId="30223ABB" w14:textId="48BF6939" w:rsidR="000A4BF0" w:rsidRPr="00EF1CB7" w:rsidRDefault="000A4BF0" w:rsidP="000A4BF0">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245 504 057</w:t>
            </w:r>
          </w:p>
        </w:tc>
        <w:tc>
          <w:tcPr>
            <w:tcW w:w="1162" w:type="dxa"/>
            <w:shd w:val="clear" w:color="auto" w:fill="BDD6EE" w:themeFill="accent1" w:themeFillTint="66"/>
            <w:noWrap/>
            <w:vAlign w:val="center"/>
            <w:hideMark/>
          </w:tcPr>
          <w:p w14:paraId="2C33F811" w14:textId="72349382" w:rsidR="000A4BF0" w:rsidRPr="00EF1CB7" w:rsidRDefault="000A4BF0" w:rsidP="000A4BF0">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248 712 141</w:t>
            </w:r>
          </w:p>
        </w:tc>
        <w:tc>
          <w:tcPr>
            <w:tcW w:w="1162" w:type="dxa"/>
            <w:shd w:val="clear" w:color="auto" w:fill="BDD6EE" w:themeFill="accent1" w:themeFillTint="66"/>
            <w:noWrap/>
            <w:vAlign w:val="center"/>
            <w:hideMark/>
          </w:tcPr>
          <w:p w14:paraId="60C07FBD" w14:textId="660BE054" w:rsidR="000A4BF0" w:rsidRPr="00EF1CB7" w:rsidRDefault="000A4BF0" w:rsidP="000A4BF0">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251 653 366</w:t>
            </w:r>
          </w:p>
        </w:tc>
        <w:tc>
          <w:tcPr>
            <w:tcW w:w="1163" w:type="dxa"/>
            <w:shd w:val="clear" w:color="auto" w:fill="BDD6EE" w:themeFill="accent1" w:themeFillTint="66"/>
            <w:noWrap/>
            <w:vAlign w:val="center"/>
            <w:hideMark/>
          </w:tcPr>
          <w:p w14:paraId="53F14E26" w14:textId="70A9EB54" w:rsidR="000A4BF0" w:rsidRPr="00EF1CB7" w:rsidRDefault="000A4BF0" w:rsidP="000A4BF0">
            <w:pPr>
              <w:spacing w:before="0" w:after="0" w:line="240" w:lineRule="auto"/>
              <w:jc w:val="right"/>
              <w:rPr>
                <w:rFonts w:asciiTheme="minorHAnsi" w:hAnsiTheme="minorHAnsi" w:cstheme="minorHAnsi"/>
                <w:b/>
                <w:bCs/>
                <w:sz w:val="18"/>
                <w:szCs w:val="18"/>
              </w:rPr>
            </w:pPr>
            <w:r w:rsidRPr="00EF1CB7">
              <w:rPr>
                <w:rFonts w:asciiTheme="minorHAnsi" w:hAnsiTheme="minorHAnsi" w:cstheme="minorHAnsi"/>
                <w:b/>
                <w:bCs/>
                <w:sz w:val="18"/>
                <w:szCs w:val="18"/>
              </w:rPr>
              <w:t>255 239 016</w:t>
            </w:r>
          </w:p>
        </w:tc>
      </w:tr>
      <w:tr w:rsidR="000A4BF0" w:rsidRPr="00313F9C" w14:paraId="6C6D899E" w14:textId="77777777" w:rsidTr="00EF1CB7">
        <w:trPr>
          <w:trHeight w:val="225"/>
        </w:trPr>
        <w:tc>
          <w:tcPr>
            <w:tcW w:w="3256" w:type="dxa"/>
            <w:shd w:val="clear" w:color="auto" w:fill="DEEAF6" w:themeFill="accent1" w:themeFillTint="33"/>
            <w:noWrap/>
            <w:vAlign w:val="center"/>
            <w:hideMark/>
          </w:tcPr>
          <w:p w14:paraId="758A0657" w14:textId="77777777" w:rsidR="000A4BF0" w:rsidRPr="001F4096" w:rsidRDefault="000A4BF0" w:rsidP="000A4BF0">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Investičné výdavky</w:t>
            </w:r>
          </w:p>
        </w:tc>
        <w:tc>
          <w:tcPr>
            <w:tcW w:w="1162" w:type="dxa"/>
            <w:shd w:val="clear" w:color="auto" w:fill="auto"/>
            <w:noWrap/>
            <w:vAlign w:val="center"/>
            <w:hideMark/>
          </w:tcPr>
          <w:p w14:paraId="4B222586" w14:textId="41B5D62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3 412 479</w:t>
            </w:r>
          </w:p>
        </w:tc>
        <w:tc>
          <w:tcPr>
            <w:tcW w:w="1162" w:type="dxa"/>
            <w:shd w:val="clear" w:color="auto" w:fill="auto"/>
            <w:noWrap/>
            <w:vAlign w:val="center"/>
            <w:hideMark/>
          </w:tcPr>
          <w:p w14:paraId="78067180" w14:textId="77E63C1C"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2A3D23F4" w14:textId="569CEE1D"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2" w:type="dxa"/>
            <w:shd w:val="clear" w:color="auto" w:fill="auto"/>
            <w:noWrap/>
            <w:vAlign w:val="center"/>
            <w:hideMark/>
          </w:tcPr>
          <w:p w14:paraId="06990336" w14:textId="5D67B6C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163" w:type="dxa"/>
            <w:shd w:val="clear" w:color="auto" w:fill="auto"/>
            <w:noWrap/>
            <w:vAlign w:val="center"/>
            <w:hideMark/>
          </w:tcPr>
          <w:p w14:paraId="371CF19B" w14:textId="6EDB23B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F6764A" w:rsidRPr="00313F9C" w14:paraId="2B6F05AC" w14:textId="77777777" w:rsidTr="00EF1CB7">
        <w:trPr>
          <w:trHeight w:val="225"/>
        </w:trPr>
        <w:tc>
          <w:tcPr>
            <w:tcW w:w="3256" w:type="dxa"/>
            <w:shd w:val="clear" w:color="auto" w:fill="DEEAF6" w:themeFill="accent1" w:themeFillTint="33"/>
            <w:noWrap/>
            <w:vAlign w:val="center"/>
            <w:hideMark/>
          </w:tcPr>
          <w:p w14:paraId="41456916"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Prevádzkové výdavky</w:t>
            </w:r>
          </w:p>
        </w:tc>
        <w:tc>
          <w:tcPr>
            <w:tcW w:w="1162" w:type="dxa"/>
            <w:shd w:val="clear" w:color="auto" w:fill="auto"/>
            <w:noWrap/>
            <w:vAlign w:val="center"/>
            <w:hideMark/>
          </w:tcPr>
          <w:p w14:paraId="1EDD400B" w14:textId="5F1CA8B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80 190 285</w:t>
            </w:r>
          </w:p>
        </w:tc>
        <w:tc>
          <w:tcPr>
            <w:tcW w:w="1162" w:type="dxa"/>
            <w:shd w:val="clear" w:color="auto" w:fill="auto"/>
            <w:noWrap/>
            <w:vAlign w:val="center"/>
            <w:hideMark/>
          </w:tcPr>
          <w:p w14:paraId="28EEB1AD" w14:textId="69811B37"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69 635 752</w:t>
            </w:r>
          </w:p>
        </w:tc>
        <w:tc>
          <w:tcPr>
            <w:tcW w:w="1162" w:type="dxa"/>
            <w:shd w:val="clear" w:color="auto" w:fill="auto"/>
            <w:noWrap/>
            <w:vAlign w:val="center"/>
            <w:hideMark/>
          </w:tcPr>
          <w:p w14:paraId="6822FEDB" w14:textId="18FE09A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68 441 000</w:t>
            </w:r>
          </w:p>
        </w:tc>
        <w:tc>
          <w:tcPr>
            <w:tcW w:w="1162" w:type="dxa"/>
            <w:shd w:val="clear" w:color="auto" w:fill="auto"/>
            <w:noWrap/>
            <w:vAlign w:val="center"/>
            <w:hideMark/>
          </w:tcPr>
          <w:p w14:paraId="2197FC90" w14:textId="64C57BD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67 921 087</w:t>
            </w:r>
          </w:p>
        </w:tc>
        <w:tc>
          <w:tcPr>
            <w:tcW w:w="1163" w:type="dxa"/>
            <w:shd w:val="clear" w:color="auto" w:fill="auto"/>
            <w:noWrap/>
            <w:vAlign w:val="center"/>
            <w:hideMark/>
          </w:tcPr>
          <w:p w14:paraId="5EC0F475" w14:textId="072C28E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67 921 486</w:t>
            </w:r>
          </w:p>
        </w:tc>
      </w:tr>
      <w:tr w:rsidR="00F6764A" w:rsidRPr="00313F9C" w14:paraId="50C01685" w14:textId="77777777" w:rsidTr="00EF1CB7">
        <w:trPr>
          <w:trHeight w:val="225"/>
        </w:trPr>
        <w:tc>
          <w:tcPr>
            <w:tcW w:w="3256" w:type="dxa"/>
            <w:shd w:val="clear" w:color="auto" w:fill="DEEAF6" w:themeFill="accent1" w:themeFillTint="33"/>
            <w:noWrap/>
            <w:vAlign w:val="center"/>
            <w:hideMark/>
          </w:tcPr>
          <w:p w14:paraId="5D3950CE" w14:textId="77777777" w:rsidR="00F6764A" w:rsidRPr="001F4096" w:rsidRDefault="00F6764A" w:rsidP="00F6764A">
            <w:pPr>
              <w:spacing w:before="0" w:after="0" w:line="240" w:lineRule="auto"/>
              <w:jc w:val="left"/>
              <w:rPr>
                <w:rFonts w:asciiTheme="minorHAnsi" w:hAnsiTheme="minorHAnsi" w:cstheme="minorHAnsi"/>
                <w:sz w:val="18"/>
                <w:szCs w:val="18"/>
              </w:rPr>
            </w:pPr>
            <w:r w:rsidRPr="001F4096">
              <w:rPr>
                <w:rFonts w:asciiTheme="minorHAnsi" w:hAnsiTheme="minorHAnsi" w:cstheme="minorHAnsi"/>
                <w:sz w:val="18"/>
                <w:szCs w:val="18"/>
              </w:rPr>
              <w:t>Splátky úverov</w:t>
            </w:r>
          </w:p>
        </w:tc>
        <w:tc>
          <w:tcPr>
            <w:tcW w:w="1162" w:type="dxa"/>
            <w:shd w:val="clear" w:color="auto" w:fill="auto"/>
            <w:noWrap/>
            <w:vAlign w:val="center"/>
            <w:hideMark/>
          </w:tcPr>
          <w:p w14:paraId="7ADDC6F3" w14:textId="442A7BF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2" w:type="dxa"/>
            <w:shd w:val="clear" w:color="auto" w:fill="auto"/>
            <w:noWrap/>
            <w:vAlign w:val="center"/>
            <w:hideMark/>
          </w:tcPr>
          <w:p w14:paraId="2926497F" w14:textId="2CE370B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2" w:type="dxa"/>
            <w:shd w:val="clear" w:color="auto" w:fill="auto"/>
            <w:noWrap/>
            <w:vAlign w:val="center"/>
            <w:hideMark/>
          </w:tcPr>
          <w:p w14:paraId="3CDE524C" w14:textId="2C6864E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2" w:type="dxa"/>
            <w:shd w:val="clear" w:color="auto" w:fill="auto"/>
            <w:noWrap/>
            <w:vAlign w:val="center"/>
            <w:hideMark/>
          </w:tcPr>
          <w:p w14:paraId="3807FA30" w14:textId="3BF43A9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163" w:type="dxa"/>
            <w:shd w:val="clear" w:color="auto" w:fill="auto"/>
            <w:noWrap/>
            <w:vAlign w:val="center"/>
            <w:hideMark/>
          </w:tcPr>
          <w:p w14:paraId="2515CF58" w14:textId="237803E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r>
      <w:tr w:rsidR="00F6764A" w:rsidRPr="00313F9C" w14:paraId="173CDEA0" w14:textId="77777777" w:rsidTr="00EF1CB7">
        <w:trPr>
          <w:trHeight w:val="225"/>
        </w:trPr>
        <w:tc>
          <w:tcPr>
            <w:tcW w:w="3256" w:type="dxa"/>
            <w:shd w:val="clear" w:color="auto" w:fill="BDD6EE" w:themeFill="accent1" w:themeFillTint="66"/>
            <w:noWrap/>
            <w:vAlign w:val="center"/>
            <w:hideMark/>
          </w:tcPr>
          <w:p w14:paraId="742CC4F4" w14:textId="77777777" w:rsidR="00F6764A" w:rsidRPr="001F4096" w:rsidRDefault="00F6764A" w:rsidP="00F6764A">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Celkové výdavky</w:t>
            </w:r>
          </w:p>
        </w:tc>
        <w:tc>
          <w:tcPr>
            <w:tcW w:w="1162" w:type="dxa"/>
            <w:shd w:val="clear" w:color="auto" w:fill="BDD6EE" w:themeFill="accent1" w:themeFillTint="66"/>
            <w:noWrap/>
            <w:vAlign w:val="center"/>
            <w:hideMark/>
          </w:tcPr>
          <w:p w14:paraId="748CC045" w14:textId="4E39867C"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83 602 764</w:t>
            </w:r>
          </w:p>
        </w:tc>
        <w:tc>
          <w:tcPr>
            <w:tcW w:w="1162" w:type="dxa"/>
            <w:shd w:val="clear" w:color="auto" w:fill="BDD6EE" w:themeFill="accent1" w:themeFillTint="66"/>
            <w:noWrap/>
            <w:vAlign w:val="center"/>
            <w:hideMark/>
          </w:tcPr>
          <w:p w14:paraId="56B90C2E" w14:textId="0FE9224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69 635 752</w:t>
            </w:r>
          </w:p>
        </w:tc>
        <w:tc>
          <w:tcPr>
            <w:tcW w:w="1162" w:type="dxa"/>
            <w:shd w:val="clear" w:color="auto" w:fill="BDD6EE" w:themeFill="accent1" w:themeFillTint="66"/>
            <w:noWrap/>
            <w:vAlign w:val="center"/>
            <w:hideMark/>
          </w:tcPr>
          <w:p w14:paraId="141516F5" w14:textId="7DD4F8D2"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68 441 000</w:t>
            </w:r>
          </w:p>
        </w:tc>
        <w:tc>
          <w:tcPr>
            <w:tcW w:w="1162" w:type="dxa"/>
            <w:shd w:val="clear" w:color="auto" w:fill="BDD6EE" w:themeFill="accent1" w:themeFillTint="66"/>
            <w:noWrap/>
            <w:vAlign w:val="center"/>
            <w:hideMark/>
          </w:tcPr>
          <w:p w14:paraId="081E6B1B" w14:textId="6E5A9A3B"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67 921 087</w:t>
            </w:r>
          </w:p>
        </w:tc>
        <w:tc>
          <w:tcPr>
            <w:tcW w:w="1163" w:type="dxa"/>
            <w:shd w:val="clear" w:color="auto" w:fill="BDD6EE" w:themeFill="accent1" w:themeFillTint="66"/>
            <w:noWrap/>
            <w:vAlign w:val="center"/>
            <w:hideMark/>
          </w:tcPr>
          <w:p w14:paraId="11FFA3D5" w14:textId="24DBB2B6"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67 921 486</w:t>
            </w:r>
          </w:p>
        </w:tc>
      </w:tr>
      <w:tr w:rsidR="00F6764A" w:rsidRPr="00313F9C" w14:paraId="5696555F" w14:textId="77777777" w:rsidTr="00EF1CB7">
        <w:trPr>
          <w:trHeight w:val="240"/>
        </w:trPr>
        <w:tc>
          <w:tcPr>
            <w:tcW w:w="3256" w:type="dxa"/>
            <w:shd w:val="clear" w:color="auto" w:fill="DEEAF6" w:themeFill="accent1" w:themeFillTint="33"/>
            <w:noWrap/>
            <w:vAlign w:val="center"/>
            <w:hideMark/>
          </w:tcPr>
          <w:p w14:paraId="1535551A" w14:textId="77777777" w:rsidR="00F6764A" w:rsidRPr="001F4096" w:rsidRDefault="00F6764A" w:rsidP="00F6764A">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Celkové peňažné toky</w:t>
            </w:r>
          </w:p>
        </w:tc>
        <w:tc>
          <w:tcPr>
            <w:tcW w:w="1162" w:type="dxa"/>
            <w:shd w:val="clear" w:color="auto" w:fill="auto"/>
            <w:noWrap/>
            <w:vAlign w:val="center"/>
            <w:hideMark/>
          </w:tcPr>
          <w:p w14:paraId="3A0E8A08" w14:textId="1B63AB8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150 052 990</w:t>
            </w:r>
          </w:p>
        </w:tc>
        <w:tc>
          <w:tcPr>
            <w:tcW w:w="1162" w:type="dxa"/>
            <w:shd w:val="clear" w:color="auto" w:fill="auto"/>
            <w:noWrap/>
            <w:vAlign w:val="center"/>
            <w:hideMark/>
          </w:tcPr>
          <w:p w14:paraId="5AD2289A" w14:textId="59B8822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175 868 305</w:t>
            </w:r>
          </w:p>
        </w:tc>
        <w:tc>
          <w:tcPr>
            <w:tcW w:w="1162" w:type="dxa"/>
            <w:shd w:val="clear" w:color="auto" w:fill="auto"/>
            <w:noWrap/>
            <w:vAlign w:val="center"/>
            <w:hideMark/>
          </w:tcPr>
          <w:p w14:paraId="4B6C71AA" w14:textId="16670FA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180 271 141</w:t>
            </w:r>
          </w:p>
        </w:tc>
        <w:tc>
          <w:tcPr>
            <w:tcW w:w="1162" w:type="dxa"/>
            <w:shd w:val="clear" w:color="auto" w:fill="auto"/>
            <w:noWrap/>
            <w:vAlign w:val="center"/>
            <w:hideMark/>
          </w:tcPr>
          <w:p w14:paraId="1A5158CF" w14:textId="0ACF631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183 732 279</w:t>
            </w:r>
          </w:p>
        </w:tc>
        <w:tc>
          <w:tcPr>
            <w:tcW w:w="1163" w:type="dxa"/>
            <w:shd w:val="clear" w:color="auto" w:fill="auto"/>
            <w:noWrap/>
            <w:vAlign w:val="center"/>
            <w:hideMark/>
          </w:tcPr>
          <w:p w14:paraId="3DC8ACB4" w14:textId="511832E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187 317 530</w:t>
            </w:r>
          </w:p>
        </w:tc>
      </w:tr>
      <w:tr w:rsidR="00F6764A" w:rsidRPr="00313F9C" w14:paraId="723D4603" w14:textId="77777777" w:rsidTr="00EF1CB7">
        <w:trPr>
          <w:trHeight w:val="240"/>
        </w:trPr>
        <w:tc>
          <w:tcPr>
            <w:tcW w:w="3256" w:type="dxa"/>
            <w:shd w:val="clear" w:color="auto" w:fill="BDD6EE" w:themeFill="accent1" w:themeFillTint="66"/>
            <w:noWrap/>
            <w:vAlign w:val="center"/>
            <w:hideMark/>
          </w:tcPr>
          <w:p w14:paraId="60561180" w14:textId="77777777" w:rsidR="00F6764A" w:rsidRPr="001F4096" w:rsidRDefault="00F6764A" w:rsidP="00F6764A">
            <w:pPr>
              <w:spacing w:before="0" w:after="0" w:line="240" w:lineRule="auto"/>
              <w:jc w:val="left"/>
              <w:rPr>
                <w:rFonts w:asciiTheme="minorHAnsi" w:hAnsiTheme="minorHAnsi" w:cstheme="minorHAnsi"/>
                <w:b/>
                <w:bCs/>
                <w:sz w:val="18"/>
                <w:szCs w:val="18"/>
              </w:rPr>
            </w:pPr>
            <w:r w:rsidRPr="001F4096">
              <w:rPr>
                <w:rFonts w:asciiTheme="minorHAnsi" w:hAnsiTheme="minorHAnsi" w:cstheme="minorHAnsi"/>
                <w:b/>
                <w:bCs/>
                <w:sz w:val="18"/>
                <w:szCs w:val="18"/>
              </w:rPr>
              <w:t>Kumulovaný čistý peňažný tok</w:t>
            </w:r>
          </w:p>
        </w:tc>
        <w:tc>
          <w:tcPr>
            <w:tcW w:w="1162" w:type="dxa"/>
            <w:shd w:val="clear" w:color="auto" w:fill="BDD6EE" w:themeFill="accent1" w:themeFillTint="66"/>
            <w:noWrap/>
            <w:vAlign w:val="center"/>
            <w:hideMark/>
          </w:tcPr>
          <w:p w14:paraId="60EA3C3B" w14:textId="2865BCCF"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150 052 990</w:t>
            </w:r>
          </w:p>
        </w:tc>
        <w:tc>
          <w:tcPr>
            <w:tcW w:w="1162" w:type="dxa"/>
            <w:shd w:val="clear" w:color="auto" w:fill="BDD6EE" w:themeFill="accent1" w:themeFillTint="66"/>
            <w:noWrap/>
            <w:vAlign w:val="center"/>
            <w:hideMark/>
          </w:tcPr>
          <w:p w14:paraId="15159062" w14:textId="6209127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325 921 295</w:t>
            </w:r>
          </w:p>
        </w:tc>
        <w:tc>
          <w:tcPr>
            <w:tcW w:w="1162" w:type="dxa"/>
            <w:shd w:val="clear" w:color="auto" w:fill="BDD6EE" w:themeFill="accent1" w:themeFillTint="66"/>
            <w:noWrap/>
            <w:vAlign w:val="center"/>
            <w:hideMark/>
          </w:tcPr>
          <w:p w14:paraId="7750B71F" w14:textId="11161AB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506 192 436</w:t>
            </w:r>
          </w:p>
        </w:tc>
        <w:tc>
          <w:tcPr>
            <w:tcW w:w="1162" w:type="dxa"/>
            <w:shd w:val="clear" w:color="auto" w:fill="BDD6EE" w:themeFill="accent1" w:themeFillTint="66"/>
            <w:noWrap/>
            <w:vAlign w:val="center"/>
            <w:hideMark/>
          </w:tcPr>
          <w:p w14:paraId="6E8E10F4" w14:textId="180C0D97"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689 924 715</w:t>
            </w:r>
          </w:p>
        </w:tc>
        <w:tc>
          <w:tcPr>
            <w:tcW w:w="1163" w:type="dxa"/>
            <w:shd w:val="clear" w:color="auto" w:fill="BDD6EE" w:themeFill="accent1" w:themeFillTint="66"/>
            <w:noWrap/>
            <w:vAlign w:val="center"/>
            <w:hideMark/>
          </w:tcPr>
          <w:p w14:paraId="5B2D41AC" w14:textId="2172204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877 242 246</w:t>
            </w:r>
          </w:p>
        </w:tc>
      </w:tr>
    </w:tbl>
    <w:p w14:paraId="33B3DBD3" w14:textId="516578E9" w:rsidR="005A7D49" w:rsidRDefault="005A7D49" w:rsidP="005A7D49">
      <w:pPr>
        <w:spacing w:before="0" w:after="0" w:line="240" w:lineRule="auto"/>
        <w:jc w:val="left"/>
        <w:rPr>
          <w:i/>
          <w:sz w:val="16"/>
        </w:rPr>
      </w:pPr>
      <w:r w:rsidRPr="00DA4343">
        <w:rPr>
          <w:i/>
          <w:sz w:val="16"/>
        </w:rPr>
        <w:t xml:space="preserve">Zdroj: Príloha </w:t>
      </w:r>
      <w:r w:rsidR="003E14E8">
        <w:rPr>
          <w:i/>
          <w:sz w:val="16"/>
        </w:rPr>
        <w:t>2</w:t>
      </w:r>
      <w:r w:rsidRPr="00DA4343">
        <w:rPr>
          <w:i/>
          <w:sz w:val="16"/>
        </w:rPr>
        <w:t xml:space="preserve">, hárok </w:t>
      </w:r>
      <w:r>
        <w:rPr>
          <w:i/>
          <w:sz w:val="16"/>
        </w:rPr>
        <w:t>06</w:t>
      </w:r>
    </w:p>
    <w:p w14:paraId="1604F583" w14:textId="77777777" w:rsidR="005A7D49" w:rsidRDefault="005A7D49" w:rsidP="005A7D49">
      <w:pPr>
        <w:spacing w:before="0" w:after="0" w:line="240" w:lineRule="auto"/>
        <w:jc w:val="left"/>
        <w:rPr>
          <w:i/>
          <w:sz w:val="16"/>
        </w:rPr>
      </w:pPr>
    </w:p>
    <w:p w14:paraId="574B5D7B" w14:textId="77777777" w:rsidR="005A7D49" w:rsidRDefault="005A7D49" w:rsidP="005A7D49">
      <w:pPr>
        <w:spacing w:before="0" w:after="0" w:line="240" w:lineRule="auto"/>
        <w:jc w:val="left"/>
      </w:pPr>
    </w:p>
    <w:p w14:paraId="1A4CD03A" w14:textId="48377603" w:rsidR="00366F12" w:rsidRDefault="00366F12">
      <w:pPr>
        <w:spacing w:before="0" w:after="0" w:line="240" w:lineRule="auto"/>
        <w:jc w:val="left"/>
      </w:pPr>
      <w:r>
        <w:br w:type="page"/>
      </w:r>
    </w:p>
    <w:p w14:paraId="351F56D2" w14:textId="62E4FB5A" w:rsidR="00B26080" w:rsidRDefault="00B26080" w:rsidP="002302CC">
      <w:pPr>
        <w:pStyle w:val="Heading1"/>
        <w:ind w:left="431" w:hanging="431"/>
      </w:pPr>
      <w:bookmarkStart w:id="156" w:name="_Toc33006408"/>
      <w:bookmarkStart w:id="157" w:name="_Toc87348755"/>
      <w:r>
        <w:lastRenderedPageBreak/>
        <w:t>Ekonomická analýza</w:t>
      </w:r>
      <w:bookmarkEnd w:id="156"/>
      <w:r w:rsidR="00A071A1">
        <w:t xml:space="preserve"> komplexného projektu</w:t>
      </w:r>
      <w:bookmarkEnd w:id="157"/>
    </w:p>
    <w:p w14:paraId="0E529381" w14:textId="4B89DEFE" w:rsidR="00B26080" w:rsidRDefault="00B26080" w:rsidP="00B26080">
      <w:pPr>
        <w:pStyle w:val="Heading2"/>
      </w:pPr>
      <w:bookmarkStart w:id="158" w:name="_Toc33006409"/>
      <w:bookmarkStart w:id="159" w:name="_Toc87348756"/>
      <w:r>
        <w:t>Metodika ekonomickej analýzy</w:t>
      </w:r>
      <w:bookmarkEnd w:id="158"/>
      <w:bookmarkEnd w:id="159"/>
    </w:p>
    <w:p w14:paraId="10F16DD8" w14:textId="294EE200" w:rsidR="00B26080" w:rsidRDefault="00B26080" w:rsidP="00B26080">
      <w:r>
        <w:t xml:space="preserve">Použitá metodika ekonomickej analýzy vychádza z odporúčaní </w:t>
      </w:r>
      <w:r w:rsidRPr="005706E7">
        <w:t>Metodick</w:t>
      </w:r>
      <w:r>
        <w:t>ej</w:t>
      </w:r>
      <w:r w:rsidRPr="005706E7">
        <w:t xml:space="preserve"> príručk</w:t>
      </w:r>
      <w:r>
        <w:t>y</w:t>
      </w:r>
      <w:r w:rsidRPr="005706E7">
        <w:t xml:space="preserve"> k tvorbe analýz nákladov a prínosov (CBA)</w:t>
      </w:r>
      <w:r>
        <w:t>, verzia 2.1, vydanej Sekciou riadenia projektov MDV, účinnej od 1.11.2018.</w:t>
      </w:r>
    </w:p>
    <w:p w14:paraId="190FB0DE" w14:textId="77777777" w:rsidR="00B26080" w:rsidRDefault="00B26080" w:rsidP="00B26080">
      <w:r>
        <w:t>Ekonomická analýza vychádza z finančnej analýzy, ktorú rozširuje v nasledujúcich krokoch :</w:t>
      </w:r>
    </w:p>
    <w:p w14:paraId="0A00ED5F" w14:textId="4712D46E" w:rsidR="00B26080" w:rsidRDefault="00B26080" w:rsidP="00533FC1">
      <w:pPr>
        <w:pStyle w:val="ListParagraph"/>
        <w:numPr>
          <w:ilvl w:val="0"/>
          <w:numId w:val="18"/>
        </w:numPr>
      </w:pPr>
      <w:r>
        <w:t>fiškálne korekcie – konverzia trhových cien na účtovné;</w:t>
      </w:r>
    </w:p>
    <w:p w14:paraId="609F1C3E" w14:textId="51149887" w:rsidR="00B26080" w:rsidRDefault="00B26080" w:rsidP="00533FC1">
      <w:pPr>
        <w:pStyle w:val="ListParagraph"/>
        <w:numPr>
          <w:ilvl w:val="0"/>
          <w:numId w:val="18"/>
        </w:numPr>
      </w:pPr>
      <w:r>
        <w:t>zahrnutie netrhových dopadov</w:t>
      </w:r>
      <w:r w:rsidR="00C7419C" w:rsidRPr="00C7419C">
        <w:t xml:space="preserve"> </w:t>
      </w:r>
      <w:r w:rsidR="00C7419C">
        <w:t>a ich peňažné vyjadrenie</w:t>
      </w:r>
      <w:r>
        <w:t>;</w:t>
      </w:r>
    </w:p>
    <w:p w14:paraId="530B6258" w14:textId="77777777" w:rsidR="00B26080" w:rsidRDefault="00B26080" w:rsidP="00533FC1">
      <w:pPr>
        <w:pStyle w:val="ListParagraph"/>
        <w:numPr>
          <w:ilvl w:val="0"/>
          <w:numId w:val="18"/>
        </w:numPr>
      </w:pPr>
      <w:r>
        <w:t>diskontovanie odhadovaných nákladov a prínosov;</w:t>
      </w:r>
    </w:p>
    <w:p w14:paraId="76C8B26A" w14:textId="2AF24C60" w:rsidR="00B26080" w:rsidRDefault="00B26080" w:rsidP="00533FC1">
      <w:pPr>
        <w:pStyle w:val="ListParagraph"/>
        <w:numPr>
          <w:ilvl w:val="0"/>
          <w:numId w:val="18"/>
        </w:numPr>
      </w:pPr>
      <w:r>
        <w:t>výpočet ukazovateľov ekonomickej výkonnosti (ekonomická čistá súčasná hodnota ENPV, ekonomická miera návratnosti E</w:t>
      </w:r>
      <w:r w:rsidR="00292AC7">
        <w:t>I</w:t>
      </w:r>
      <w:r>
        <w:t>RR a pomer prínosov a nákladov B/C).</w:t>
      </w:r>
    </w:p>
    <w:p w14:paraId="2C68B636" w14:textId="45BEE904" w:rsidR="00DD56D5" w:rsidRDefault="00DD56D5" w:rsidP="00A40297">
      <w:r>
        <w:t>Ekonomická analýza je spracovaná pre oba varianty 1 a 2.</w:t>
      </w:r>
    </w:p>
    <w:p w14:paraId="7C60A627" w14:textId="77777777" w:rsidR="00B26080" w:rsidRDefault="00B26080" w:rsidP="00B26080">
      <w:pPr>
        <w:pStyle w:val="Heading3"/>
      </w:pPr>
      <w:bookmarkStart w:id="160" w:name="_Toc33006410"/>
      <w:bookmarkStart w:id="161" w:name="_Toc87348757"/>
      <w:r>
        <w:t>Fiškálne korekcie</w:t>
      </w:r>
      <w:bookmarkEnd w:id="160"/>
      <w:bookmarkEnd w:id="161"/>
    </w:p>
    <w:p w14:paraId="22D31E0E" w14:textId="242C902C" w:rsidR="00B26080" w:rsidRDefault="00B26080" w:rsidP="00B26080">
      <w:r w:rsidRPr="00F81DA7">
        <w:t>Fiškálne korekcie vykonané v ekonomickej analýze projektu zahŕňajú rozdelenie investičných a</w:t>
      </w:r>
      <w:r w:rsidR="00355791">
        <w:t> </w:t>
      </w:r>
      <w:r w:rsidRPr="00F81DA7">
        <w:t xml:space="preserve">prevádzkových výdavkov na jednotlivé kategórie </w:t>
      </w:r>
      <w:r>
        <w:t xml:space="preserve">a na jednotlivé výrobné faktory. </w:t>
      </w:r>
    </w:p>
    <w:p w14:paraId="1834CA8B" w14:textId="77777777" w:rsidR="00B26080" w:rsidRDefault="00B26080" w:rsidP="00B26080">
      <w:r>
        <w:t>Konverzné faktory použité pre ekonomickú analýzu projektu sú prevzaté z Príručky CBA, Tabuľky 18. Ide o faktory platné pre cestné projekty.</w:t>
      </w:r>
    </w:p>
    <w:p w14:paraId="3C4AE69A" w14:textId="44597426" w:rsidR="00B26080" w:rsidRDefault="00B26080" w:rsidP="00B26080">
      <w:pPr>
        <w:pStyle w:val="Caption"/>
      </w:pPr>
      <w:bookmarkStart w:id="162" w:name="_Toc33007090"/>
      <w:r>
        <w:t xml:space="preserve">Tab. </w:t>
      </w:r>
      <w:r>
        <w:fldChar w:fldCharType="begin"/>
      </w:r>
      <w:r>
        <w:instrText xml:space="preserve"> SEQ Tab. \* ARABIC </w:instrText>
      </w:r>
      <w:r>
        <w:fldChar w:fldCharType="separate"/>
      </w:r>
      <w:r w:rsidR="00A86720">
        <w:rPr>
          <w:noProof/>
        </w:rPr>
        <w:t>50</w:t>
      </w:r>
      <w:r>
        <w:fldChar w:fldCharType="end"/>
      </w:r>
      <w:r>
        <w:t xml:space="preserve"> - Použité konverzné faktory pre fiškálnu korekciu</w:t>
      </w:r>
      <w:bookmarkEnd w:id="162"/>
    </w:p>
    <w:tbl>
      <w:tblPr>
        <w:tblW w:w="91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1701"/>
        <w:gridCol w:w="1560"/>
        <w:gridCol w:w="1480"/>
        <w:gridCol w:w="1481"/>
        <w:gridCol w:w="1481"/>
        <w:gridCol w:w="1481"/>
      </w:tblGrid>
      <w:tr w:rsidR="00B26080" w:rsidRPr="00B26080" w14:paraId="44FB2A5A" w14:textId="77777777" w:rsidTr="004E0519">
        <w:trPr>
          <w:trHeight w:val="270"/>
        </w:trPr>
        <w:tc>
          <w:tcPr>
            <w:tcW w:w="3261" w:type="dxa"/>
            <w:gridSpan w:val="2"/>
            <w:shd w:val="clear" w:color="auto" w:fill="BDD6EE" w:themeFill="accent1" w:themeFillTint="66"/>
            <w:noWrap/>
            <w:vAlign w:val="center"/>
          </w:tcPr>
          <w:p w14:paraId="207D6CF3" w14:textId="77777777" w:rsidR="00B26080" w:rsidRPr="00B26080" w:rsidRDefault="00B26080" w:rsidP="00B26080">
            <w:pPr>
              <w:spacing w:before="0" w:after="0" w:line="240" w:lineRule="auto"/>
              <w:jc w:val="center"/>
              <w:rPr>
                <w:rFonts w:asciiTheme="minorHAnsi" w:hAnsiTheme="minorHAnsi" w:cs="Calibri"/>
                <w:bCs/>
                <w:color w:val="000000"/>
                <w:sz w:val="18"/>
                <w:szCs w:val="18"/>
              </w:rPr>
            </w:pPr>
            <w:r w:rsidRPr="00B26080">
              <w:rPr>
                <w:rFonts w:asciiTheme="minorHAnsi" w:hAnsiTheme="minorHAnsi" w:cs="Calibri"/>
                <w:color w:val="000000"/>
                <w:sz w:val="18"/>
                <w:szCs w:val="18"/>
              </w:rPr>
              <w:t>Kategória výdavku</w:t>
            </w:r>
          </w:p>
        </w:tc>
        <w:tc>
          <w:tcPr>
            <w:tcW w:w="1480" w:type="dxa"/>
            <w:shd w:val="clear" w:color="auto" w:fill="BDD6EE" w:themeFill="accent1" w:themeFillTint="66"/>
            <w:vAlign w:val="center"/>
          </w:tcPr>
          <w:p w14:paraId="06C9794D" w14:textId="77777777" w:rsidR="00B26080" w:rsidRPr="00B26080" w:rsidRDefault="00B26080" w:rsidP="00B26080">
            <w:pPr>
              <w:spacing w:before="0" w:after="0" w:line="240" w:lineRule="auto"/>
              <w:jc w:val="center"/>
              <w:rPr>
                <w:rFonts w:asciiTheme="minorHAnsi" w:hAnsiTheme="minorHAnsi" w:cs="Calibri"/>
                <w:bCs/>
                <w:color w:val="000000"/>
                <w:sz w:val="18"/>
                <w:szCs w:val="18"/>
              </w:rPr>
            </w:pPr>
            <w:r w:rsidRPr="00B26080">
              <w:rPr>
                <w:rFonts w:asciiTheme="minorHAnsi" w:hAnsiTheme="minorHAnsi" w:cs="Calibri"/>
                <w:bCs/>
                <w:color w:val="000000"/>
                <w:sz w:val="18"/>
                <w:szCs w:val="18"/>
              </w:rPr>
              <w:t>Personálne výdavky</w:t>
            </w:r>
          </w:p>
        </w:tc>
        <w:tc>
          <w:tcPr>
            <w:tcW w:w="1481" w:type="dxa"/>
            <w:shd w:val="clear" w:color="auto" w:fill="BDD6EE" w:themeFill="accent1" w:themeFillTint="66"/>
            <w:noWrap/>
            <w:vAlign w:val="center"/>
          </w:tcPr>
          <w:p w14:paraId="7A3F3C56" w14:textId="77777777" w:rsidR="00B26080" w:rsidRPr="00B26080" w:rsidRDefault="00B26080" w:rsidP="00B26080">
            <w:pPr>
              <w:spacing w:before="0" w:after="0" w:line="240" w:lineRule="auto"/>
              <w:jc w:val="center"/>
              <w:rPr>
                <w:rFonts w:asciiTheme="minorHAnsi" w:hAnsiTheme="minorHAnsi" w:cs="Calibri"/>
                <w:bCs/>
                <w:color w:val="000000"/>
                <w:sz w:val="18"/>
                <w:szCs w:val="18"/>
              </w:rPr>
            </w:pPr>
            <w:r w:rsidRPr="00B26080">
              <w:rPr>
                <w:rFonts w:asciiTheme="minorHAnsi" w:hAnsiTheme="minorHAnsi" w:cs="Calibri"/>
                <w:bCs/>
                <w:color w:val="000000"/>
                <w:sz w:val="18"/>
                <w:szCs w:val="18"/>
              </w:rPr>
              <w:t>Pohonné hmoty</w:t>
            </w:r>
          </w:p>
        </w:tc>
        <w:tc>
          <w:tcPr>
            <w:tcW w:w="1481" w:type="dxa"/>
            <w:shd w:val="clear" w:color="auto" w:fill="BDD6EE" w:themeFill="accent1" w:themeFillTint="66"/>
            <w:noWrap/>
            <w:vAlign w:val="center"/>
          </w:tcPr>
          <w:p w14:paraId="66FAA660" w14:textId="77777777" w:rsidR="00B26080" w:rsidRPr="00B26080" w:rsidRDefault="00B26080" w:rsidP="00B26080">
            <w:pPr>
              <w:spacing w:before="0" w:after="0" w:line="240" w:lineRule="auto"/>
              <w:jc w:val="center"/>
              <w:rPr>
                <w:rFonts w:asciiTheme="minorHAnsi" w:hAnsiTheme="minorHAnsi" w:cs="Calibri"/>
                <w:bCs/>
                <w:color w:val="000000"/>
                <w:sz w:val="18"/>
                <w:szCs w:val="18"/>
              </w:rPr>
            </w:pPr>
            <w:r w:rsidRPr="00B26080">
              <w:rPr>
                <w:rFonts w:asciiTheme="minorHAnsi" w:hAnsiTheme="minorHAnsi" w:cs="Calibri"/>
                <w:bCs/>
                <w:color w:val="000000"/>
                <w:sz w:val="18"/>
                <w:szCs w:val="18"/>
              </w:rPr>
              <w:t>Materiál</w:t>
            </w:r>
            <w:r w:rsidRPr="00B26080">
              <w:rPr>
                <w:rFonts w:asciiTheme="minorHAnsi" w:hAnsiTheme="minorHAnsi" w:cs="Calibri"/>
                <w:bCs/>
                <w:color w:val="000000"/>
                <w:sz w:val="18"/>
                <w:szCs w:val="18"/>
              </w:rPr>
              <w:br/>
              <w:t>Ostatné výdavky</w:t>
            </w:r>
          </w:p>
        </w:tc>
        <w:tc>
          <w:tcPr>
            <w:tcW w:w="1481" w:type="dxa"/>
            <w:shd w:val="clear" w:color="auto" w:fill="BDD6EE" w:themeFill="accent1" w:themeFillTint="66"/>
            <w:noWrap/>
            <w:vAlign w:val="center"/>
          </w:tcPr>
          <w:p w14:paraId="38CDA9E3" w14:textId="77777777" w:rsidR="00B26080" w:rsidRPr="00B26080" w:rsidRDefault="00B26080" w:rsidP="00B26080">
            <w:pPr>
              <w:spacing w:before="0" w:after="0" w:line="240" w:lineRule="auto"/>
              <w:jc w:val="center"/>
              <w:rPr>
                <w:rFonts w:asciiTheme="minorHAnsi" w:hAnsiTheme="minorHAnsi" w:cs="Calibri"/>
                <w:bCs/>
                <w:color w:val="000000"/>
                <w:sz w:val="18"/>
                <w:szCs w:val="18"/>
              </w:rPr>
            </w:pPr>
            <w:r w:rsidRPr="00B26080">
              <w:rPr>
                <w:rFonts w:asciiTheme="minorHAnsi" w:hAnsiTheme="minorHAnsi" w:cs="Calibri"/>
                <w:bCs/>
                <w:color w:val="000000"/>
                <w:sz w:val="18"/>
                <w:szCs w:val="18"/>
              </w:rPr>
              <w:t>Spolu</w:t>
            </w:r>
          </w:p>
        </w:tc>
      </w:tr>
      <w:tr w:rsidR="00B26080" w:rsidRPr="00B26080" w14:paraId="0DEDD56A" w14:textId="77777777" w:rsidTr="004E0519">
        <w:trPr>
          <w:trHeight w:val="270"/>
        </w:trPr>
        <w:tc>
          <w:tcPr>
            <w:tcW w:w="1701" w:type="dxa"/>
            <w:vMerge w:val="restart"/>
            <w:shd w:val="clear" w:color="auto" w:fill="DEEAF6" w:themeFill="accent1" w:themeFillTint="33"/>
            <w:vAlign w:val="center"/>
          </w:tcPr>
          <w:p w14:paraId="7294A412" w14:textId="77777777" w:rsidR="00B26080" w:rsidRPr="00B26080" w:rsidRDefault="00B26080" w:rsidP="00B26080">
            <w:pPr>
              <w:spacing w:before="0" w:after="0" w:line="240" w:lineRule="auto"/>
              <w:jc w:val="left"/>
              <w:rPr>
                <w:rFonts w:asciiTheme="minorHAnsi" w:hAnsiTheme="minorHAnsi" w:cs="Calibri"/>
                <w:color w:val="000000"/>
                <w:sz w:val="18"/>
                <w:szCs w:val="18"/>
              </w:rPr>
            </w:pPr>
            <w:r w:rsidRPr="00B26080">
              <w:rPr>
                <w:rFonts w:asciiTheme="minorHAnsi" w:hAnsiTheme="minorHAnsi" w:cs="Calibri"/>
                <w:color w:val="000000"/>
                <w:sz w:val="18"/>
                <w:szCs w:val="18"/>
              </w:rPr>
              <w:t>Investičné výdavky</w:t>
            </w:r>
          </w:p>
        </w:tc>
        <w:tc>
          <w:tcPr>
            <w:tcW w:w="1560" w:type="dxa"/>
            <w:shd w:val="clear" w:color="auto" w:fill="DEEAF6" w:themeFill="accent1" w:themeFillTint="33"/>
            <w:vAlign w:val="center"/>
          </w:tcPr>
          <w:p w14:paraId="4B673D86" w14:textId="77777777" w:rsidR="00B26080" w:rsidRPr="00B26080" w:rsidRDefault="00B26080" w:rsidP="00B26080">
            <w:pPr>
              <w:spacing w:before="0" w:after="0" w:line="240" w:lineRule="auto"/>
              <w:jc w:val="left"/>
              <w:rPr>
                <w:rFonts w:asciiTheme="minorHAnsi" w:hAnsiTheme="minorHAnsi" w:cs="Calibri"/>
                <w:color w:val="000000"/>
                <w:sz w:val="18"/>
                <w:szCs w:val="18"/>
              </w:rPr>
            </w:pPr>
            <w:r w:rsidRPr="00B26080">
              <w:rPr>
                <w:rFonts w:asciiTheme="minorHAnsi" w:hAnsiTheme="minorHAnsi" w:cs="Calibri"/>
                <w:color w:val="000000"/>
                <w:sz w:val="18"/>
                <w:szCs w:val="18"/>
              </w:rPr>
              <w:t>stavebné náklady</w:t>
            </w:r>
          </w:p>
        </w:tc>
        <w:tc>
          <w:tcPr>
            <w:tcW w:w="1480" w:type="dxa"/>
            <w:vAlign w:val="center"/>
          </w:tcPr>
          <w:p w14:paraId="52B0289A" w14:textId="26EFC1E0"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25</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4B127D80" w14:textId="39320763"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15</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1F658460" w14:textId="786F85DA"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60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1494076E" w14:textId="1266D5CD"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100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r>
      <w:tr w:rsidR="00B26080" w:rsidRPr="00B26080" w14:paraId="17A7EC27" w14:textId="77777777" w:rsidTr="004E0519">
        <w:trPr>
          <w:trHeight w:val="270"/>
        </w:trPr>
        <w:tc>
          <w:tcPr>
            <w:tcW w:w="1701" w:type="dxa"/>
            <w:vMerge/>
            <w:shd w:val="clear" w:color="auto" w:fill="DEEAF6" w:themeFill="accent1" w:themeFillTint="33"/>
            <w:vAlign w:val="center"/>
          </w:tcPr>
          <w:p w14:paraId="7820FDCD" w14:textId="77777777" w:rsidR="00B26080" w:rsidRPr="00B26080" w:rsidRDefault="00B26080" w:rsidP="00B26080">
            <w:pPr>
              <w:spacing w:before="0" w:after="0" w:line="240" w:lineRule="auto"/>
              <w:jc w:val="left"/>
              <w:rPr>
                <w:rFonts w:asciiTheme="minorHAnsi" w:hAnsiTheme="minorHAnsi" w:cs="Calibri"/>
                <w:color w:val="000000"/>
                <w:sz w:val="18"/>
                <w:szCs w:val="18"/>
              </w:rPr>
            </w:pPr>
          </w:p>
        </w:tc>
        <w:tc>
          <w:tcPr>
            <w:tcW w:w="1560" w:type="dxa"/>
            <w:shd w:val="clear" w:color="auto" w:fill="DEEAF6" w:themeFill="accent1" w:themeFillTint="33"/>
            <w:vAlign w:val="center"/>
          </w:tcPr>
          <w:p w14:paraId="24B58774" w14:textId="77777777" w:rsidR="00B26080" w:rsidRPr="00B26080" w:rsidRDefault="00B26080" w:rsidP="00B26080">
            <w:pPr>
              <w:spacing w:before="0" w:after="0" w:line="240" w:lineRule="auto"/>
              <w:jc w:val="left"/>
              <w:rPr>
                <w:rFonts w:asciiTheme="minorHAnsi" w:hAnsiTheme="minorHAnsi" w:cs="Calibri"/>
                <w:color w:val="000000"/>
                <w:sz w:val="18"/>
                <w:szCs w:val="18"/>
              </w:rPr>
            </w:pPr>
            <w:r w:rsidRPr="00B26080">
              <w:rPr>
                <w:rFonts w:asciiTheme="minorHAnsi" w:hAnsiTheme="minorHAnsi" w:cs="Calibri"/>
                <w:color w:val="000000"/>
                <w:sz w:val="18"/>
                <w:szCs w:val="18"/>
              </w:rPr>
              <w:t>stavebný dozor</w:t>
            </w:r>
          </w:p>
        </w:tc>
        <w:tc>
          <w:tcPr>
            <w:tcW w:w="1480" w:type="dxa"/>
            <w:vAlign w:val="center"/>
          </w:tcPr>
          <w:p w14:paraId="631A28DB" w14:textId="38D96526"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50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7D9E50D7" w14:textId="51F2255E"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20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3D904EE7" w14:textId="5ED0F45D"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30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642FC510" w14:textId="2E0DD629"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100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r>
      <w:tr w:rsidR="00B26080" w:rsidRPr="00B26080" w14:paraId="1E9D8EAB" w14:textId="77777777" w:rsidTr="004E0519">
        <w:trPr>
          <w:trHeight w:val="270"/>
        </w:trPr>
        <w:tc>
          <w:tcPr>
            <w:tcW w:w="1701" w:type="dxa"/>
            <w:vMerge/>
            <w:shd w:val="clear" w:color="auto" w:fill="DEEAF6" w:themeFill="accent1" w:themeFillTint="33"/>
            <w:vAlign w:val="center"/>
          </w:tcPr>
          <w:p w14:paraId="201B58E1" w14:textId="77777777" w:rsidR="00B26080" w:rsidRPr="00B26080" w:rsidRDefault="00B26080" w:rsidP="00B26080">
            <w:pPr>
              <w:spacing w:before="0" w:after="0" w:line="240" w:lineRule="auto"/>
              <w:jc w:val="left"/>
              <w:rPr>
                <w:rFonts w:asciiTheme="minorHAnsi" w:hAnsiTheme="minorHAnsi" w:cs="Calibri"/>
                <w:color w:val="000000"/>
                <w:sz w:val="18"/>
                <w:szCs w:val="18"/>
              </w:rPr>
            </w:pPr>
          </w:p>
        </w:tc>
        <w:tc>
          <w:tcPr>
            <w:tcW w:w="1560" w:type="dxa"/>
            <w:shd w:val="clear" w:color="auto" w:fill="DEEAF6" w:themeFill="accent1" w:themeFillTint="33"/>
            <w:vAlign w:val="center"/>
          </w:tcPr>
          <w:p w14:paraId="542D78DE" w14:textId="77777777" w:rsidR="00B26080" w:rsidRPr="00B26080" w:rsidRDefault="00B26080" w:rsidP="00B26080">
            <w:pPr>
              <w:spacing w:before="0" w:after="0" w:line="240" w:lineRule="auto"/>
              <w:jc w:val="left"/>
              <w:rPr>
                <w:rFonts w:asciiTheme="minorHAnsi" w:hAnsiTheme="minorHAnsi" w:cs="Calibri"/>
                <w:color w:val="000000"/>
                <w:sz w:val="18"/>
                <w:szCs w:val="18"/>
              </w:rPr>
            </w:pPr>
            <w:r w:rsidRPr="00B26080">
              <w:rPr>
                <w:rFonts w:asciiTheme="minorHAnsi" w:hAnsiTheme="minorHAnsi" w:cs="Calibri"/>
                <w:color w:val="000000"/>
                <w:sz w:val="18"/>
                <w:szCs w:val="18"/>
              </w:rPr>
              <w:t>projektovanie</w:t>
            </w:r>
          </w:p>
        </w:tc>
        <w:tc>
          <w:tcPr>
            <w:tcW w:w="1480" w:type="dxa"/>
            <w:vAlign w:val="center"/>
          </w:tcPr>
          <w:p w14:paraId="6F82C146" w14:textId="60F7AE18"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70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063D9877" w14:textId="310255B5"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5</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040EAE6D" w14:textId="0A482C8D"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25</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c>
          <w:tcPr>
            <w:tcW w:w="1481" w:type="dxa"/>
            <w:shd w:val="clear" w:color="auto" w:fill="auto"/>
            <w:noWrap/>
            <w:vAlign w:val="center"/>
          </w:tcPr>
          <w:p w14:paraId="424650FB" w14:textId="2617F546"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cs="Calibri"/>
                <w:color w:val="000000"/>
                <w:sz w:val="18"/>
                <w:szCs w:val="18"/>
              </w:rPr>
              <w:t>100</w:t>
            </w:r>
            <w:r w:rsidR="00532C7C">
              <w:rPr>
                <w:rFonts w:asciiTheme="minorHAnsi" w:hAnsiTheme="minorHAnsi" w:cs="Calibri"/>
                <w:color w:val="000000"/>
                <w:sz w:val="18"/>
                <w:szCs w:val="18"/>
              </w:rPr>
              <w:t xml:space="preserve"> </w:t>
            </w:r>
            <w:r w:rsidRPr="00B26080">
              <w:rPr>
                <w:rFonts w:asciiTheme="minorHAnsi" w:hAnsiTheme="minorHAnsi" w:cs="Calibri"/>
                <w:color w:val="000000"/>
                <w:sz w:val="18"/>
                <w:szCs w:val="18"/>
              </w:rPr>
              <w:t>%</w:t>
            </w:r>
          </w:p>
        </w:tc>
      </w:tr>
      <w:tr w:rsidR="00B26080" w:rsidRPr="00B26080" w14:paraId="615EA175" w14:textId="77777777" w:rsidTr="004E0519">
        <w:trPr>
          <w:trHeight w:val="270"/>
        </w:trPr>
        <w:tc>
          <w:tcPr>
            <w:tcW w:w="1701" w:type="dxa"/>
            <w:shd w:val="clear" w:color="auto" w:fill="DEEAF6" w:themeFill="accent1" w:themeFillTint="33"/>
            <w:vAlign w:val="center"/>
          </w:tcPr>
          <w:p w14:paraId="1D76F5AA" w14:textId="77777777" w:rsidR="00B26080" w:rsidRPr="00B26080" w:rsidRDefault="00B26080" w:rsidP="00B26080">
            <w:pPr>
              <w:spacing w:before="0" w:after="0" w:line="240" w:lineRule="auto"/>
              <w:jc w:val="left"/>
              <w:rPr>
                <w:rFonts w:asciiTheme="minorHAnsi" w:hAnsiTheme="minorHAnsi" w:cs="Calibri"/>
                <w:color w:val="000000"/>
                <w:sz w:val="18"/>
                <w:szCs w:val="18"/>
              </w:rPr>
            </w:pPr>
            <w:r w:rsidRPr="00B26080">
              <w:rPr>
                <w:rFonts w:asciiTheme="minorHAnsi" w:hAnsiTheme="minorHAnsi" w:cs="Calibri"/>
                <w:color w:val="000000"/>
                <w:sz w:val="18"/>
                <w:szCs w:val="18"/>
              </w:rPr>
              <w:t>Prevádzkové výdavky</w:t>
            </w:r>
          </w:p>
        </w:tc>
        <w:tc>
          <w:tcPr>
            <w:tcW w:w="1560" w:type="dxa"/>
            <w:shd w:val="clear" w:color="auto" w:fill="DEEAF6" w:themeFill="accent1" w:themeFillTint="33"/>
            <w:vAlign w:val="center"/>
          </w:tcPr>
          <w:p w14:paraId="77BB2F6E" w14:textId="77777777" w:rsidR="00B26080" w:rsidRPr="00B26080" w:rsidRDefault="00B26080" w:rsidP="00B26080">
            <w:pPr>
              <w:spacing w:before="0" w:after="0" w:line="240" w:lineRule="auto"/>
              <w:jc w:val="left"/>
              <w:rPr>
                <w:rFonts w:asciiTheme="minorHAnsi" w:hAnsiTheme="minorHAnsi" w:cs="Calibri"/>
                <w:color w:val="000000"/>
                <w:sz w:val="18"/>
                <w:szCs w:val="18"/>
              </w:rPr>
            </w:pPr>
            <w:r w:rsidRPr="00B26080">
              <w:rPr>
                <w:rFonts w:asciiTheme="minorHAnsi" w:hAnsiTheme="minorHAnsi"/>
                <w:sz w:val="18"/>
                <w:szCs w:val="18"/>
              </w:rPr>
              <w:t xml:space="preserve">prevádzka mýta </w:t>
            </w:r>
          </w:p>
        </w:tc>
        <w:tc>
          <w:tcPr>
            <w:tcW w:w="1480" w:type="dxa"/>
            <w:vAlign w:val="center"/>
          </w:tcPr>
          <w:p w14:paraId="63178366" w14:textId="429CA3CE"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sz w:val="18"/>
                <w:szCs w:val="18"/>
              </w:rPr>
              <w:t>45</w:t>
            </w:r>
            <w:r w:rsidR="00532C7C">
              <w:rPr>
                <w:rFonts w:asciiTheme="minorHAnsi" w:hAnsiTheme="minorHAnsi"/>
                <w:sz w:val="18"/>
                <w:szCs w:val="18"/>
              </w:rPr>
              <w:t xml:space="preserve"> </w:t>
            </w:r>
            <w:r w:rsidRPr="00B26080">
              <w:rPr>
                <w:rFonts w:asciiTheme="minorHAnsi" w:hAnsiTheme="minorHAnsi"/>
                <w:sz w:val="18"/>
                <w:szCs w:val="18"/>
              </w:rPr>
              <w:t>%</w:t>
            </w:r>
          </w:p>
        </w:tc>
        <w:tc>
          <w:tcPr>
            <w:tcW w:w="1481" w:type="dxa"/>
            <w:shd w:val="clear" w:color="auto" w:fill="auto"/>
            <w:noWrap/>
            <w:vAlign w:val="center"/>
          </w:tcPr>
          <w:p w14:paraId="1818C463" w14:textId="609313B7"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sz w:val="18"/>
                <w:szCs w:val="18"/>
              </w:rPr>
              <w:t>15</w:t>
            </w:r>
            <w:r w:rsidR="00532C7C">
              <w:rPr>
                <w:rFonts w:asciiTheme="minorHAnsi" w:hAnsiTheme="minorHAnsi"/>
                <w:sz w:val="18"/>
                <w:szCs w:val="18"/>
              </w:rPr>
              <w:t xml:space="preserve"> </w:t>
            </w:r>
            <w:r w:rsidRPr="00B26080">
              <w:rPr>
                <w:rFonts w:asciiTheme="minorHAnsi" w:hAnsiTheme="minorHAnsi"/>
                <w:sz w:val="18"/>
                <w:szCs w:val="18"/>
              </w:rPr>
              <w:t>%</w:t>
            </w:r>
          </w:p>
        </w:tc>
        <w:tc>
          <w:tcPr>
            <w:tcW w:w="1481" w:type="dxa"/>
            <w:shd w:val="clear" w:color="auto" w:fill="auto"/>
            <w:noWrap/>
            <w:vAlign w:val="center"/>
          </w:tcPr>
          <w:p w14:paraId="0932C5C3" w14:textId="45CCD7E6"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sz w:val="18"/>
                <w:szCs w:val="18"/>
              </w:rPr>
              <w:t>40</w:t>
            </w:r>
            <w:r w:rsidR="00532C7C">
              <w:rPr>
                <w:rFonts w:asciiTheme="minorHAnsi" w:hAnsiTheme="minorHAnsi"/>
                <w:sz w:val="18"/>
                <w:szCs w:val="18"/>
              </w:rPr>
              <w:t xml:space="preserve"> </w:t>
            </w:r>
            <w:r w:rsidRPr="00B26080">
              <w:rPr>
                <w:rFonts w:asciiTheme="minorHAnsi" w:hAnsiTheme="minorHAnsi"/>
                <w:sz w:val="18"/>
                <w:szCs w:val="18"/>
              </w:rPr>
              <w:t>%</w:t>
            </w:r>
          </w:p>
        </w:tc>
        <w:tc>
          <w:tcPr>
            <w:tcW w:w="1481" w:type="dxa"/>
            <w:shd w:val="clear" w:color="auto" w:fill="auto"/>
            <w:noWrap/>
            <w:vAlign w:val="center"/>
          </w:tcPr>
          <w:p w14:paraId="7BD97B5D" w14:textId="589E4DA8" w:rsidR="00B26080" w:rsidRPr="00B26080" w:rsidRDefault="00B26080" w:rsidP="00B26080">
            <w:pPr>
              <w:spacing w:before="0" w:after="0" w:line="240" w:lineRule="auto"/>
              <w:jc w:val="center"/>
              <w:rPr>
                <w:rFonts w:asciiTheme="minorHAnsi" w:hAnsiTheme="minorHAnsi" w:cs="Calibri"/>
                <w:color w:val="000000"/>
                <w:sz w:val="18"/>
                <w:szCs w:val="18"/>
              </w:rPr>
            </w:pPr>
            <w:r w:rsidRPr="00B26080">
              <w:rPr>
                <w:rFonts w:asciiTheme="minorHAnsi" w:hAnsiTheme="minorHAnsi"/>
                <w:sz w:val="18"/>
                <w:szCs w:val="18"/>
              </w:rPr>
              <w:t>100</w:t>
            </w:r>
            <w:r w:rsidR="00532C7C">
              <w:rPr>
                <w:rFonts w:asciiTheme="minorHAnsi" w:hAnsiTheme="minorHAnsi"/>
                <w:sz w:val="18"/>
                <w:szCs w:val="18"/>
              </w:rPr>
              <w:t xml:space="preserve"> </w:t>
            </w:r>
            <w:r w:rsidRPr="00B26080">
              <w:rPr>
                <w:rFonts w:asciiTheme="minorHAnsi" w:hAnsiTheme="minorHAnsi"/>
                <w:sz w:val="18"/>
                <w:szCs w:val="18"/>
              </w:rPr>
              <w:t>%</w:t>
            </w:r>
          </w:p>
        </w:tc>
      </w:tr>
    </w:tbl>
    <w:p w14:paraId="0664FD51" w14:textId="459C845F" w:rsidR="00B26080" w:rsidRDefault="00B26080" w:rsidP="00B26080">
      <w:pPr>
        <w:rPr>
          <w:i/>
          <w:sz w:val="16"/>
          <w:szCs w:val="16"/>
        </w:rPr>
      </w:pPr>
      <w:r w:rsidRPr="00CF535B">
        <w:rPr>
          <w:i/>
          <w:sz w:val="16"/>
          <w:szCs w:val="16"/>
        </w:rPr>
        <w:t>Zdroj: Príručka CBA, Tabuľka 18</w:t>
      </w:r>
    </w:p>
    <w:p w14:paraId="208F01BC" w14:textId="77777777" w:rsidR="00366F12" w:rsidRPr="00CF535B" w:rsidRDefault="00366F12" w:rsidP="00B26080">
      <w:pPr>
        <w:rPr>
          <w:i/>
          <w:sz w:val="16"/>
          <w:szCs w:val="16"/>
        </w:rPr>
      </w:pPr>
    </w:p>
    <w:p w14:paraId="6B56D0E8" w14:textId="06F143E5" w:rsidR="00B26080" w:rsidRDefault="00B26080" w:rsidP="00B26080">
      <w:pPr>
        <w:pStyle w:val="Heading3"/>
      </w:pPr>
      <w:bookmarkStart w:id="163" w:name="_Toc33006411"/>
      <w:bookmarkStart w:id="164" w:name="_Toc87348758"/>
      <w:r w:rsidRPr="002D340F">
        <w:t>Identifikácia, kvantifikácia a ocenenie netrhových vplyvov</w:t>
      </w:r>
      <w:bookmarkEnd w:id="163"/>
      <w:bookmarkEnd w:id="164"/>
    </w:p>
    <w:p w14:paraId="7C99553B" w14:textId="77777777" w:rsidR="00B26080" w:rsidRDefault="00B26080" w:rsidP="00B26080">
      <w:pPr>
        <w:pStyle w:val="Heading4"/>
      </w:pPr>
      <w:r>
        <w:t>Ocenenie času</w:t>
      </w:r>
    </w:p>
    <w:p w14:paraId="7F49928D" w14:textId="5240E048" w:rsidR="00DC1E15" w:rsidRDefault="00DC1E15" w:rsidP="00355791">
      <w:pPr>
        <w:spacing w:before="0" w:after="0" w:line="240" w:lineRule="auto"/>
      </w:pPr>
      <w:r>
        <w:t>Ocenenie času nebude na účely ekonomickej analýzy aplikované</w:t>
      </w:r>
      <w:r w:rsidR="00C7419C">
        <w:t>.</w:t>
      </w:r>
      <w:r>
        <w:t xml:space="preserve"> </w:t>
      </w:r>
      <w:r w:rsidR="00C7419C">
        <w:t>Z</w:t>
      </w:r>
      <w:r>
        <w:t xml:space="preserve"> povahy projektu sa časové straty alebo úspora času na strane </w:t>
      </w:r>
      <w:r w:rsidR="00B324B6">
        <w:t>Správc</w:t>
      </w:r>
      <w:r>
        <w:t>u výberu mýta neuplatn</w:t>
      </w:r>
      <w:r w:rsidR="00C7419C">
        <w:t>ia</w:t>
      </w:r>
      <w:r>
        <w:t>, na strane dopravcov sa úspora času nedá dostatočne presne rozdeliť vo vzťahu k jednotlivým systémom výberu mýta v členských k</w:t>
      </w:r>
      <w:r w:rsidR="00355791">
        <w:t>r</w:t>
      </w:r>
      <w:r>
        <w:t>ajinách EÚ</w:t>
      </w:r>
      <w:r w:rsidR="00A26841">
        <w:t>,</w:t>
      </w:r>
      <w:r>
        <w:t xml:space="preserve"> a preto bud</w:t>
      </w:r>
      <w:r w:rsidR="00355791">
        <w:t xml:space="preserve">ú </w:t>
      </w:r>
      <w:r>
        <w:t>zanedbané.</w:t>
      </w:r>
    </w:p>
    <w:p w14:paraId="5AE2CEB7" w14:textId="03A1C73A" w:rsidR="00355791" w:rsidRDefault="00355791" w:rsidP="00355791">
      <w:pPr>
        <w:pStyle w:val="Heading4"/>
      </w:pPr>
      <w:r>
        <w:t>Prevádzkové náklady vozidiel</w:t>
      </w:r>
    </w:p>
    <w:p w14:paraId="7064BDA1" w14:textId="33A105F9" w:rsidR="00355791" w:rsidRPr="00355791" w:rsidRDefault="00355791" w:rsidP="00355791">
      <w:r>
        <w:t>Prevádzkové náklady vozidiel nie sú projektom ovplyvnené, na účely ekonomickej analýzy nie sú údaje o prevádzkových nákladov vozidiel relevantné a nebudú uplatnené.</w:t>
      </w:r>
    </w:p>
    <w:p w14:paraId="44FE6173" w14:textId="47F967AF" w:rsidR="00355791" w:rsidRDefault="00355791" w:rsidP="00355791">
      <w:pPr>
        <w:pStyle w:val="Heading4"/>
      </w:pPr>
      <w:r>
        <w:t>Nehodovosť</w:t>
      </w:r>
    </w:p>
    <w:p w14:paraId="6DED5529" w14:textId="523E8483" w:rsidR="00355791" w:rsidRPr="00355791" w:rsidRDefault="00355791" w:rsidP="00355791">
      <w:r>
        <w:t>Nehodovosť nie je projektom ovplyvnená, na účely ekonomickej analýzy nie sú údaje o nehodovosti relevantné a nebudú uplatnené.</w:t>
      </w:r>
    </w:p>
    <w:p w14:paraId="0B60F8BD" w14:textId="56EF0CD1" w:rsidR="00355791" w:rsidRDefault="00355791" w:rsidP="00355791">
      <w:pPr>
        <w:pStyle w:val="Heading4"/>
      </w:pPr>
      <w:r>
        <w:t>Externality</w:t>
      </w:r>
    </w:p>
    <w:p w14:paraId="22333404" w14:textId="5ADB496E" w:rsidR="00355791" w:rsidRDefault="00355791" w:rsidP="00355791">
      <w:r>
        <w:t>Externé náklady cestnej dopravy (znečistenie životného prostredia, emisie skleníkových plynov, náklady v dôsledku hluku z cestnej premávky) nie sú projektom ovplyvnené, na účely ekonomickej analýzy nie sú údaje o externých nákladoch relevantné a nebudú uplatnené.</w:t>
      </w:r>
    </w:p>
    <w:p w14:paraId="299CF09B" w14:textId="3CBDC048" w:rsidR="002302CC" w:rsidRDefault="002302CC" w:rsidP="00355791"/>
    <w:p w14:paraId="56866BA3" w14:textId="2076C8EF" w:rsidR="0095790F" w:rsidRPr="00355791" w:rsidRDefault="0095790F" w:rsidP="00A40297">
      <w:pPr>
        <w:pStyle w:val="Heading2"/>
      </w:pPr>
      <w:bookmarkStart w:id="165" w:name="_Toc87348759"/>
      <w:r>
        <w:lastRenderedPageBreak/>
        <w:t>Ekonomická analýza – Variant 1</w:t>
      </w:r>
      <w:bookmarkEnd w:id="165"/>
    </w:p>
    <w:p w14:paraId="44E904AC" w14:textId="0F5CDB29" w:rsidR="00355791" w:rsidRDefault="00355791" w:rsidP="00A40297">
      <w:pPr>
        <w:pStyle w:val="Heading3"/>
      </w:pPr>
      <w:bookmarkStart w:id="166" w:name="_Toc87348760"/>
      <w:r>
        <w:t>Investičné náklady</w:t>
      </w:r>
      <w:r w:rsidR="00D7676E">
        <w:t xml:space="preserve"> – ekonomické</w:t>
      </w:r>
      <w:bookmarkEnd w:id="166"/>
      <w:r w:rsidR="00D7676E">
        <w:t xml:space="preserve"> </w:t>
      </w:r>
    </w:p>
    <w:p w14:paraId="55379B9D" w14:textId="3F2090B1" w:rsidR="00355791" w:rsidRDefault="00355791" w:rsidP="00355791">
      <w:r w:rsidRPr="00355791">
        <w:t>Ekonomické investičné náklady sú stanovené s pomocou konverzných faktorov pre technológiu a</w:t>
      </w:r>
      <w:r w:rsidR="00D7676E">
        <w:t> </w:t>
      </w:r>
      <w:r w:rsidRPr="00355791">
        <w:t>zariadenia, pre technickú pomoc a projektové riadenie</w:t>
      </w:r>
      <w:r w:rsidR="00D7676E">
        <w:t xml:space="preserve"> </w:t>
      </w:r>
      <w:r w:rsidR="004E0519">
        <w:t xml:space="preserve">(iné služby) </w:t>
      </w:r>
      <w:r w:rsidR="00D7676E">
        <w:t>boli aplikované konverzné faktory „</w:t>
      </w:r>
      <w:r w:rsidR="004E0519">
        <w:t>projektovanie</w:t>
      </w:r>
      <w:r w:rsidR="00D7676E">
        <w:t>“</w:t>
      </w:r>
      <w:r w:rsidRPr="00355791">
        <w:t>.</w:t>
      </w:r>
    </w:p>
    <w:p w14:paraId="6B5CC39F" w14:textId="075B9A0D" w:rsidR="00D7676E" w:rsidRDefault="00D7676E" w:rsidP="00D7676E">
      <w:pPr>
        <w:pStyle w:val="Caption"/>
      </w:pPr>
      <w:r>
        <w:t xml:space="preserve">Tab. </w:t>
      </w:r>
      <w:r>
        <w:fldChar w:fldCharType="begin"/>
      </w:r>
      <w:r>
        <w:instrText xml:space="preserve"> SEQ Tab. \* ARABIC </w:instrText>
      </w:r>
      <w:r>
        <w:fldChar w:fldCharType="separate"/>
      </w:r>
      <w:r w:rsidR="00A86720">
        <w:rPr>
          <w:noProof/>
        </w:rPr>
        <w:t>51</w:t>
      </w:r>
      <w:r>
        <w:fldChar w:fldCharType="end"/>
      </w:r>
      <w:r>
        <w:t xml:space="preserve"> - Investičné náklady </w:t>
      </w:r>
      <w:r w:rsidR="00DD56D5">
        <w:t>–</w:t>
      </w:r>
      <w:r>
        <w:t xml:space="preserve"> ekonomické</w:t>
      </w:r>
      <w:r w:rsidR="00DD56D5">
        <w:t>, variant 1</w:t>
      </w:r>
    </w:p>
    <w:tbl>
      <w:tblPr>
        <w:tblW w:w="9219"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66"/>
        <w:gridCol w:w="992"/>
        <w:gridCol w:w="992"/>
        <w:gridCol w:w="992"/>
        <w:gridCol w:w="992"/>
        <w:gridCol w:w="992"/>
        <w:gridCol w:w="993"/>
      </w:tblGrid>
      <w:tr w:rsidR="00D7676E" w:rsidRPr="00AD32AA" w14:paraId="19456F2B" w14:textId="77777777" w:rsidTr="00CB5E2B">
        <w:trPr>
          <w:trHeight w:val="225"/>
          <w:tblHeader/>
        </w:trPr>
        <w:tc>
          <w:tcPr>
            <w:tcW w:w="3266" w:type="dxa"/>
            <w:tcBorders>
              <w:top w:val="single" w:sz="4" w:space="0" w:color="7F7F7F" w:themeColor="text1" w:themeTint="80"/>
            </w:tcBorders>
            <w:shd w:val="clear" w:color="auto" w:fill="BDD6EE" w:themeFill="accent1" w:themeFillTint="66"/>
            <w:noWrap/>
            <w:vAlign w:val="bottom"/>
            <w:hideMark/>
          </w:tcPr>
          <w:p w14:paraId="60C9A2F2" w14:textId="77777777" w:rsidR="00D7676E" w:rsidRPr="00C0001C" w:rsidRDefault="00D7676E" w:rsidP="00CB5E2B">
            <w:pPr>
              <w:spacing w:before="0" w:after="0" w:line="240" w:lineRule="auto"/>
              <w:jc w:val="left"/>
              <w:rPr>
                <w:rFonts w:asciiTheme="minorHAnsi" w:hAnsiTheme="minorHAnsi" w:cs="Arial"/>
                <w:b/>
                <w:bCs/>
                <w:sz w:val="18"/>
                <w:szCs w:val="18"/>
              </w:rPr>
            </w:pPr>
            <w:r w:rsidRPr="00C0001C">
              <w:rPr>
                <w:rFonts w:asciiTheme="minorHAnsi" w:hAnsiTheme="minorHAnsi" w:cs="Arial"/>
                <w:b/>
                <w:bCs/>
                <w:sz w:val="18"/>
                <w:szCs w:val="18"/>
              </w:rPr>
              <w:t>1.2 Investičné náklady (EUR) - ekonomické</w:t>
            </w:r>
          </w:p>
        </w:tc>
        <w:tc>
          <w:tcPr>
            <w:tcW w:w="992" w:type="dxa"/>
            <w:tcBorders>
              <w:top w:val="single" w:sz="4" w:space="0" w:color="7F7F7F" w:themeColor="text1" w:themeTint="80"/>
            </w:tcBorders>
            <w:shd w:val="clear" w:color="auto" w:fill="BDD6EE" w:themeFill="accent1" w:themeFillTint="66"/>
            <w:noWrap/>
            <w:vAlign w:val="center"/>
            <w:hideMark/>
          </w:tcPr>
          <w:p w14:paraId="327D053E" w14:textId="77777777" w:rsidR="00D7676E" w:rsidRPr="00180F09" w:rsidRDefault="00D7676E" w:rsidP="00CB5E2B">
            <w:pPr>
              <w:spacing w:before="0" w:after="0" w:line="240" w:lineRule="auto"/>
              <w:jc w:val="center"/>
              <w:rPr>
                <w:rFonts w:asciiTheme="minorHAnsi" w:hAnsiTheme="minorHAnsi" w:cs="Arial"/>
                <w:bCs/>
                <w:sz w:val="18"/>
                <w:szCs w:val="18"/>
              </w:rPr>
            </w:pPr>
            <w:r w:rsidRPr="00180F09">
              <w:rPr>
                <w:rFonts w:asciiTheme="minorHAnsi" w:hAnsiTheme="minorHAnsi" w:cs="Arial"/>
                <w:bCs/>
                <w:sz w:val="18"/>
                <w:szCs w:val="18"/>
              </w:rPr>
              <w:t>Celkom</w:t>
            </w:r>
          </w:p>
        </w:tc>
        <w:tc>
          <w:tcPr>
            <w:tcW w:w="992" w:type="dxa"/>
            <w:tcBorders>
              <w:top w:val="single" w:sz="4" w:space="0" w:color="7F7F7F" w:themeColor="text1" w:themeTint="80"/>
            </w:tcBorders>
            <w:shd w:val="clear" w:color="auto" w:fill="BDD6EE" w:themeFill="accent1" w:themeFillTint="66"/>
            <w:noWrap/>
            <w:vAlign w:val="center"/>
            <w:hideMark/>
          </w:tcPr>
          <w:p w14:paraId="013EE183" w14:textId="77777777" w:rsidR="00D7676E" w:rsidRPr="00180F09" w:rsidRDefault="00D7676E" w:rsidP="00CB5E2B">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2022</w:t>
            </w:r>
          </w:p>
        </w:tc>
        <w:tc>
          <w:tcPr>
            <w:tcW w:w="992" w:type="dxa"/>
            <w:shd w:val="clear" w:color="auto" w:fill="BDD6EE" w:themeFill="accent1" w:themeFillTint="66"/>
            <w:noWrap/>
            <w:vAlign w:val="center"/>
            <w:hideMark/>
          </w:tcPr>
          <w:p w14:paraId="645E04BA" w14:textId="77777777" w:rsidR="00D7676E" w:rsidRPr="00180F09" w:rsidRDefault="00D7676E" w:rsidP="00CB5E2B">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2023</w:t>
            </w:r>
          </w:p>
        </w:tc>
        <w:tc>
          <w:tcPr>
            <w:tcW w:w="992" w:type="dxa"/>
            <w:shd w:val="clear" w:color="auto" w:fill="BDD6EE" w:themeFill="accent1" w:themeFillTint="66"/>
            <w:noWrap/>
            <w:vAlign w:val="center"/>
            <w:hideMark/>
          </w:tcPr>
          <w:p w14:paraId="05E83EDF" w14:textId="77777777" w:rsidR="00D7676E" w:rsidRPr="00180F09" w:rsidRDefault="00D7676E" w:rsidP="00CB5E2B">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2024</w:t>
            </w:r>
          </w:p>
        </w:tc>
        <w:tc>
          <w:tcPr>
            <w:tcW w:w="992" w:type="dxa"/>
            <w:shd w:val="clear" w:color="auto" w:fill="BDD6EE" w:themeFill="accent1" w:themeFillTint="66"/>
            <w:noWrap/>
            <w:vAlign w:val="center"/>
            <w:hideMark/>
          </w:tcPr>
          <w:p w14:paraId="39C0B426" w14:textId="77777777" w:rsidR="00D7676E" w:rsidRPr="00180F09" w:rsidRDefault="00D7676E" w:rsidP="00CB5E2B">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2025</w:t>
            </w:r>
          </w:p>
        </w:tc>
        <w:tc>
          <w:tcPr>
            <w:tcW w:w="993" w:type="dxa"/>
            <w:shd w:val="clear" w:color="auto" w:fill="BDD6EE" w:themeFill="accent1" w:themeFillTint="66"/>
            <w:noWrap/>
            <w:vAlign w:val="center"/>
            <w:hideMark/>
          </w:tcPr>
          <w:p w14:paraId="30CBE60E" w14:textId="77777777" w:rsidR="00D7676E" w:rsidRPr="00180F09" w:rsidRDefault="00D7676E" w:rsidP="00CB5E2B">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2026</w:t>
            </w:r>
          </w:p>
        </w:tc>
      </w:tr>
      <w:tr w:rsidR="00D7676E" w:rsidRPr="00C0001C" w14:paraId="7585B3CB" w14:textId="77777777" w:rsidTr="00CB5E2B">
        <w:trPr>
          <w:trHeight w:val="225"/>
        </w:trPr>
        <w:tc>
          <w:tcPr>
            <w:tcW w:w="3266" w:type="dxa"/>
            <w:shd w:val="clear" w:color="auto" w:fill="DEEAF6" w:themeFill="accent1" w:themeFillTint="33"/>
            <w:noWrap/>
            <w:vAlign w:val="bottom"/>
            <w:hideMark/>
          </w:tcPr>
          <w:p w14:paraId="17C6946C" w14:textId="77777777" w:rsidR="00D7676E" w:rsidRPr="00C0001C" w:rsidRDefault="00D7676E" w:rsidP="00CB5E2B">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Plánovacie/projektové poplatky</w:t>
            </w:r>
          </w:p>
        </w:tc>
        <w:tc>
          <w:tcPr>
            <w:tcW w:w="992" w:type="dxa"/>
            <w:shd w:val="clear" w:color="auto" w:fill="auto"/>
            <w:noWrap/>
            <w:vAlign w:val="center"/>
            <w:hideMark/>
          </w:tcPr>
          <w:p w14:paraId="3838B7DF"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72F2A82C"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22A88BB"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14CC6BBE"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014E0A87"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29F6A0DB"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D7676E" w:rsidRPr="00C0001C" w14:paraId="58BBFBEC" w14:textId="77777777" w:rsidTr="00CB5E2B">
        <w:trPr>
          <w:trHeight w:val="225"/>
        </w:trPr>
        <w:tc>
          <w:tcPr>
            <w:tcW w:w="3266" w:type="dxa"/>
            <w:shd w:val="clear" w:color="auto" w:fill="DEEAF6" w:themeFill="accent1" w:themeFillTint="33"/>
            <w:noWrap/>
            <w:vAlign w:val="bottom"/>
            <w:hideMark/>
          </w:tcPr>
          <w:p w14:paraId="254F6DF8" w14:textId="77777777" w:rsidR="00D7676E" w:rsidRPr="00C0001C" w:rsidRDefault="00D7676E" w:rsidP="00CB5E2B">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Výkup pozemkov</w:t>
            </w:r>
          </w:p>
        </w:tc>
        <w:tc>
          <w:tcPr>
            <w:tcW w:w="992" w:type="dxa"/>
            <w:shd w:val="clear" w:color="auto" w:fill="auto"/>
            <w:noWrap/>
            <w:vAlign w:val="center"/>
            <w:hideMark/>
          </w:tcPr>
          <w:p w14:paraId="733A7EA9"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261A02BF"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4EE81BD9"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39813218"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2C6B8987"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3487CC79"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D7676E" w:rsidRPr="00C0001C" w14:paraId="0357EEEF" w14:textId="77777777" w:rsidTr="00CB5E2B">
        <w:trPr>
          <w:trHeight w:val="225"/>
        </w:trPr>
        <w:tc>
          <w:tcPr>
            <w:tcW w:w="3266" w:type="dxa"/>
            <w:shd w:val="clear" w:color="auto" w:fill="DEEAF6" w:themeFill="accent1" w:themeFillTint="33"/>
            <w:noWrap/>
            <w:vAlign w:val="bottom"/>
            <w:hideMark/>
          </w:tcPr>
          <w:p w14:paraId="3EBC6EE4" w14:textId="77777777" w:rsidR="00D7676E" w:rsidRPr="00C0001C" w:rsidRDefault="00D7676E" w:rsidP="00CB5E2B">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Príprava staveniska</w:t>
            </w:r>
          </w:p>
        </w:tc>
        <w:tc>
          <w:tcPr>
            <w:tcW w:w="992" w:type="dxa"/>
            <w:shd w:val="clear" w:color="auto" w:fill="auto"/>
            <w:noWrap/>
            <w:vAlign w:val="center"/>
            <w:hideMark/>
          </w:tcPr>
          <w:p w14:paraId="5DF6F8B8"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66B08727"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1D3DDAFB"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90693AA"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3C5BE1B6"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2BEECDBF"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D7676E" w:rsidRPr="00C0001C" w14:paraId="257D3F73" w14:textId="77777777" w:rsidTr="00CB5E2B">
        <w:trPr>
          <w:trHeight w:val="225"/>
        </w:trPr>
        <w:tc>
          <w:tcPr>
            <w:tcW w:w="3266" w:type="dxa"/>
            <w:shd w:val="clear" w:color="auto" w:fill="DEEAF6" w:themeFill="accent1" w:themeFillTint="33"/>
            <w:noWrap/>
            <w:vAlign w:val="bottom"/>
            <w:hideMark/>
          </w:tcPr>
          <w:p w14:paraId="5F75F26E" w14:textId="77777777" w:rsidR="00D7676E" w:rsidRPr="00C0001C" w:rsidRDefault="00D7676E" w:rsidP="00CB5E2B">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Zemné práce</w:t>
            </w:r>
          </w:p>
        </w:tc>
        <w:tc>
          <w:tcPr>
            <w:tcW w:w="992" w:type="dxa"/>
            <w:shd w:val="clear" w:color="auto" w:fill="auto"/>
            <w:noWrap/>
            <w:vAlign w:val="center"/>
            <w:hideMark/>
          </w:tcPr>
          <w:p w14:paraId="4AE25B39"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68D27DCF"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E3161D0"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77824CD0"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5CC9C943"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443AF95D"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D7676E" w:rsidRPr="00C0001C" w14:paraId="604406E6" w14:textId="77777777" w:rsidTr="00EF1CB7">
        <w:trPr>
          <w:trHeight w:val="266"/>
        </w:trPr>
        <w:tc>
          <w:tcPr>
            <w:tcW w:w="3266" w:type="dxa"/>
            <w:shd w:val="clear" w:color="auto" w:fill="DEEAF6" w:themeFill="accent1" w:themeFillTint="33"/>
            <w:noWrap/>
            <w:vAlign w:val="bottom"/>
            <w:hideMark/>
          </w:tcPr>
          <w:p w14:paraId="50F7F060" w14:textId="77777777" w:rsidR="00D7676E" w:rsidRPr="00C0001C" w:rsidRDefault="00D7676E" w:rsidP="00CB5E2B">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Stavebné náklady</w:t>
            </w:r>
          </w:p>
        </w:tc>
        <w:tc>
          <w:tcPr>
            <w:tcW w:w="992" w:type="dxa"/>
            <w:shd w:val="clear" w:color="auto" w:fill="auto"/>
            <w:noWrap/>
            <w:vAlign w:val="center"/>
            <w:hideMark/>
          </w:tcPr>
          <w:p w14:paraId="52CD654C" w14:textId="77777777" w:rsidR="00D7676E" w:rsidRPr="00C0001C" w:rsidRDefault="00D7676E" w:rsidP="00CB5E2B">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tcPr>
          <w:p w14:paraId="2CB3E6F5" w14:textId="77777777" w:rsidR="00D7676E" w:rsidRPr="00C0001C" w:rsidRDefault="00D7676E" w:rsidP="00CB5E2B">
            <w:pPr>
              <w:spacing w:before="0" w:after="0" w:line="240" w:lineRule="auto"/>
              <w:jc w:val="right"/>
              <w:rPr>
                <w:rFonts w:asciiTheme="minorHAnsi" w:hAnsiTheme="minorHAnsi" w:cs="Arial"/>
                <w:sz w:val="18"/>
                <w:szCs w:val="18"/>
              </w:rPr>
            </w:pPr>
          </w:p>
        </w:tc>
        <w:tc>
          <w:tcPr>
            <w:tcW w:w="992" w:type="dxa"/>
            <w:shd w:val="clear" w:color="auto" w:fill="auto"/>
            <w:noWrap/>
            <w:vAlign w:val="center"/>
          </w:tcPr>
          <w:p w14:paraId="0CB01063" w14:textId="77777777" w:rsidR="00D7676E" w:rsidRPr="00C0001C" w:rsidRDefault="00D7676E" w:rsidP="00CB5E2B">
            <w:pPr>
              <w:spacing w:before="0" w:after="0" w:line="240" w:lineRule="auto"/>
              <w:jc w:val="right"/>
              <w:rPr>
                <w:rFonts w:asciiTheme="minorHAnsi" w:hAnsiTheme="minorHAnsi" w:cs="Arial"/>
                <w:sz w:val="18"/>
                <w:szCs w:val="18"/>
              </w:rPr>
            </w:pPr>
          </w:p>
        </w:tc>
        <w:tc>
          <w:tcPr>
            <w:tcW w:w="992" w:type="dxa"/>
            <w:shd w:val="clear" w:color="auto" w:fill="auto"/>
            <w:noWrap/>
            <w:vAlign w:val="center"/>
          </w:tcPr>
          <w:p w14:paraId="59714F19" w14:textId="77777777" w:rsidR="00D7676E" w:rsidRPr="00C0001C" w:rsidRDefault="00D7676E" w:rsidP="00CB5E2B">
            <w:pPr>
              <w:spacing w:before="0" w:after="0" w:line="240" w:lineRule="auto"/>
              <w:jc w:val="right"/>
              <w:rPr>
                <w:rFonts w:asciiTheme="minorHAnsi" w:hAnsiTheme="minorHAnsi" w:cs="Arial"/>
                <w:sz w:val="18"/>
                <w:szCs w:val="18"/>
              </w:rPr>
            </w:pPr>
          </w:p>
        </w:tc>
        <w:tc>
          <w:tcPr>
            <w:tcW w:w="992" w:type="dxa"/>
            <w:shd w:val="clear" w:color="auto" w:fill="auto"/>
            <w:noWrap/>
            <w:vAlign w:val="center"/>
          </w:tcPr>
          <w:p w14:paraId="6AF46791" w14:textId="77777777" w:rsidR="00D7676E" w:rsidRPr="00C0001C" w:rsidRDefault="00D7676E" w:rsidP="00CB5E2B">
            <w:pPr>
              <w:spacing w:before="0" w:after="0" w:line="240" w:lineRule="auto"/>
              <w:jc w:val="right"/>
              <w:rPr>
                <w:rFonts w:asciiTheme="minorHAnsi" w:hAnsiTheme="minorHAnsi" w:cs="Arial"/>
                <w:sz w:val="18"/>
                <w:szCs w:val="18"/>
              </w:rPr>
            </w:pPr>
          </w:p>
        </w:tc>
        <w:tc>
          <w:tcPr>
            <w:tcW w:w="993" w:type="dxa"/>
            <w:shd w:val="clear" w:color="auto" w:fill="auto"/>
            <w:noWrap/>
            <w:vAlign w:val="center"/>
          </w:tcPr>
          <w:p w14:paraId="3D361EAF" w14:textId="77777777" w:rsidR="00D7676E" w:rsidRPr="00C0001C" w:rsidRDefault="00D7676E" w:rsidP="00CB5E2B">
            <w:pPr>
              <w:spacing w:before="0" w:after="0" w:line="240" w:lineRule="auto"/>
              <w:jc w:val="right"/>
              <w:rPr>
                <w:rFonts w:asciiTheme="minorHAnsi" w:hAnsiTheme="minorHAnsi" w:cs="Arial"/>
                <w:sz w:val="18"/>
                <w:szCs w:val="18"/>
              </w:rPr>
            </w:pPr>
          </w:p>
        </w:tc>
      </w:tr>
      <w:tr w:rsidR="000A4BF0" w:rsidRPr="00C0001C" w14:paraId="0067A3B4" w14:textId="77777777" w:rsidTr="00EF1CB7">
        <w:trPr>
          <w:trHeight w:val="225"/>
        </w:trPr>
        <w:tc>
          <w:tcPr>
            <w:tcW w:w="3266" w:type="dxa"/>
            <w:shd w:val="clear" w:color="auto" w:fill="DEEAF6" w:themeFill="accent1" w:themeFillTint="33"/>
            <w:noWrap/>
            <w:vAlign w:val="bottom"/>
            <w:hideMark/>
          </w:tcPr>
          <w:p w14:paraId="2CC991E7" w14:textId="77777777" w:rsidR="000A4BF0" w:rsidRPr="00C0001C" w:rsidRDefault="000A4BF0" w:rsidP="000A4BF0">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Technológia a zariadenia</w:t>
            </w:r>
          </w:p>
        </w:tc>
        <w:tc>
          <w:tcPr>
            <w:tcW w:w="992" w:type="dxa"/>
            <w:shd w:val="clear" w:color="auto" w:fill="auto"/>
            <w:noWrap/>
            <w:vAlign w:val="center"/>
            <w:hideMark/>
          </w:tcPr>
          <w:p w14:paraId="4BEF176B" w14:textId="2F8FA47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2 859 541</w:t>
            </w:r>
          </w:p>
        </w:tc>
        <w:tc>
          <w:tcPr>
            <w:tcW w:w="992" w:type="dxa"/>
            <w:shd w:val="clear" w:color="auto" w:fill="auto"/>
            <w:noWrap/>
            <w:vAlign w:val="center"/>
            <w:hideMark/>
          </w:tcPr>
          <w:p w14:paraId="2E624F2B" w14:textId="34A4BF46"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2 859 541</w:t>
            </w:r>
          </w:p>
        </w:tc>
        <w:tc>
          <w:tcPr>
            <w:tcW w:w="992" w:type="dxa"/>
            <w:shd w:val="clear" w:color="auto" w:fill="auto"/>
            <w:noWrap/>
            <w:vAlign w:val="center"/>
          </w:tcPr>
          <w:p w14:paraId="0C8402A9" w14:textId="10252ACB" w:rsidR="000A4BF0" w:rsidRPr="00180F09" w:rsidRDefault="000A4BF0" w:rsidP="000A4BF0">
            <w:pPr>
              <w:spacing w:before="0" w:after="0" w:line="240" w:lineRule="auto"/>
              <w:jc w:val="right"/>
              <w:rPr>
                <w:rFonts w:asciiTheme="minorHAnsi" w:hAnsiTheme="minorHAnsi" w:cs="Arial"/>
                <w:sz w:val="18"/>
                <w:szCs w:val="18"/>
              </w:rPr>
            </w:pPr>
          </w:p>
        </w:tc>
        <w:tc>
          <w:tcPr>
            <w:tcW w:w="992" w:type="dxa"/>
            <w:shd w:val="clear" w:color="auto" w:fill="auto"/>
            <w:noWrap/>
            <w:vAlign w:val="center"/>
            <w:hideMark/>
          </w:tcPr>
          <w:p w14:paraId="3F66BF4C"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3C59F66"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2F80EF43"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0A4BF0" w:rsidRPr="00C0001C" w14:paraId="012A92F6" w14:textId="77777777" w:rsidTr="00EF1CB7">
        <w:trPr>
          <w:trHeight w:val="225"/>
        </w:trPr>
        <w:tc>
          <w:tcPr>
            <w:tcW w:w="3266" w:type="dxa"/>
            <w:shd w:val="clear" w:color="auto" w:fill="DEEAF6" w:themeFill="accent1" w:themeFillTint="33"/>
            <w:noWrap/>
            <w:vAlign w:val="bottom"/>
            <w:hideMark/>
          </w:tcPr>
          <w:p w14:paraId="22FFD302" w14:textId="77777777" w:rsidR="000A4BF0" w:rsidRPr="00C0001C" w:rsidRDefault="000A4BF0" w:rsidP="000A4BF0">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Dozor</w:t>
            </w:r>
          </w:p>
        </w:tc>
        <w:tc>
          <w:tcPr>
            <w:tcW w:w="992" w:type="dxa"/>
            <w:shd w:val="clear" w:color="auto" w:fill="auto"/>
            <w:noWrap/>
            <w:vAlign w:val="center"/>
            <w:hideMark/>
          </w:tcPr>
          <w:p w14:paraId="4B4ECA6B" w14:textId="2F4A9EB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92" w:type="dxa"/>
            <w:shd w:val="clear" w:color="auto" w:fill="auto"/>
            <w:noWrap/>
            <w:vAlign w:val="center"/>
            <w:hideMark/>
          </w:tcPr>
          <w:p w14:paraId="28B8592B" w14:textId="5CB6EA5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92" w:type="dxa"/>
            <w:shd w:val="clear" w:color="auto" w:fill="auto"/>
            <w:noWrap/>
            <w:vAlign w:val="center"/>
          </w:tcPr>
          <w:p w14:paraId="4341887C" w14:textId="5B194B96" w:rsidR="000A4BF0" w:rsidRPr="00180F09" w:rsidRDefault="000A4BF0" w:rsidP="000A4BF0">
            <w:pPr>
              <w:spacing w:before="0" w:after="0" w:line="240" w:lineRule="auto"/>
              <w:jc w:val="right"/>
              <w:rPr>
                <w:rFonts w:asciiTheme="minorHAnsi" w:hAnsiTheme="minorHAnsi" w:cs="Arial"/>
                <w:sz w:val="18"/>
                <w:szCs w:val="18"/>
              </w:rPr>
            </w:pPr>
          </w:p>
        </w:tc>
        <w:tc>
          <w:tcPr>
            <w:tcW w:w="992" w:type="dxa"/>
            <w:shd w:val="clear" w:color="auto" w:fill="auto"/>
            <w:noWrap/>
            <w:vAlign w:val="center"/>
            <w:hideMark/>
          </w:tcPr>
          <w:p w14:paraId="441DC9EC"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45D84A83"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15AF4D06"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0A4BF0" w:rsidRPr="00C0001C" w14:paraId="108853F6" w14:textId="77777777" w:rsidTr="00EF1CB7">
        <w:trPr>
          <w:trHeight w:val="225"/>
        </w:trPr>
        <w:tc>
          <w:tcPr>
            <w:tcW w:w="3266" w:type="dxa"/>
            <w:shd w:val="clear" w:color="auto" w:fill="DEEAF6" w:themeFill="accent1" w:themeFillTint="33"/>
            <w:noWrap/>
            <w:vAlign w:val="bottom"/>
            <w:hideMark/>
          </w:tcPr>
          <w:p w14:paraId="5954882F" w14:textId="77777777" w:rsidR="000A4BF0" w:rsidRPr="00C0001C" w:rsidRDefault="000A4BF0" w:rsidP="000A4BF0">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Iné služby (Technická pomoc, Publicita, Externé riadenie)</w:t>
            </w:r>
          </w:p>
        </w:tc>
        <w:tc>
          <w:tcPr>
            <w:tcW w:w="992" w:type="dxa"/>
            <w:shd w:val="clear" w:color="auto" w:fill="auto"/>
            <w:noWrap/>
            <w:vAlign w:val="center"/>
            <w:hideMark/>
          </w:tcPr>
          <w:p w14:paraId="1AF96259" w14:textId="7048864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152 312</w:t>
            </w:r>
          </w:p>
        </w:tc>
        <w:tc>
          <w:tcPr>
            <w:tcW w:w="992" w:type="dxa"/>
            <w:shd w:val="clear" w:color="auto" w:fill="auto"/>
            <w:noWrap/>
            <w:vAlign w:val="center"/>
            <w:hideMark/>
          </w:tcPr>
          <w:p w14:paraId="6C3EA527" w14:textId="29547C5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152 312</w:t>
            </w:r>
          </w:p>
        </w:tc>
        <w:tc>
          <w:tcPr>
            <w:tcW w:w="992" w:type="dxa"/>
            <w:shd w:val="clear" w:color="auto" w:fill="auto"/>
            <w:noWrap/>
            <w:vAlign w:val="center"/>
          </w:tcPr>
          <w:p w14:paraId="3A52CB8B" w14:textId="7429395B" w:rsidR="000A4BF0" w:rsidRPr="00180F09" w:rsidRDefault="000A4BF0" w:rsidP="000A4BF0">
            <w:pPr>
              <w:spacing w:before="0" w:after="0" w:line="240" w:lineRule="auto"/>
              <w:jc w:val="right"/>
              <w:rPr>
                <w:rFonts w:asciiTheme="minorHAnsi" w:hAnsiTheme="minorHAnsi" w:cs="Arial"/>
                <w:sz w:val="18"/>
                <w:szCs w:val="18"/>
              </w:rPr>
            </w:pPr>
          </w:p>
        </w:tc>
        <w:tc>
          <w:tcPr>
            <w:tcW w:w="992" w:type="dxa"/>
            <w:shd w:val="clear" w:color="auto" w:fill="auto"/>
            <w:noWrap/>
            <w:vAlign w:val="center"/>
            <w:hideMark/>
          </w:tcPr>
          <w:p w14:paraId="15576F70"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565ACA4B"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740F7855" w14:textId="77777777" w:rsidR="000A4BF0" w:rsidRPr="00C0001C" w:rsidRDefault="000A4BF0" w:rsidP="000A4BF0">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0A4BF0" w:rsidRPr="00C0001C" w14:paraId="0D6D87AB" w14:textId="77777777" w:rsidTr="00EF1CB7">
        <w:trPr>
          <w:trHeight w:val="225"/>
        </w:trPr>
        <w:tc>
          <w:tcPr>
            <w:tcW w:w="3266" w:type="dxa"/>
            <w:shd w:val="clear" w:color="auto" w:fill="BDD6EE" w:themeFill="accent1" w:themeFillTint="66"/>
            <w:noWrap/>
            <w:vAlign w:val="bottom"/>
            <w:hideMark/>
          </w:tcPr>
          <w:p w14:paraId="5909BA3D" w14:textId="77777777" w:rsidR="000A4BF0" w:rsidRPr="00C0001C" w:rsidRDefault="000A4BF0" w:rsidP="000A4BF0">
            <w:pPr>
              <w:spacing w:before="0" w:after="0" w:line="240" w:lineRule="auto"/>
              <w:jc w:val="left"/>
              <w:rPr>
                <w:rFonts w:asciiTheme="minorHAnsi" w:hAnsiTheme="minorHAnsi" w:cs="Arial"/>
                <w:b/>
                <w:bCs/>
                <w:sz w:val="18"/>
                <w:szCs w:val="18"/>
              </w:rPr>
            </w:pPr>
            <w:r w:rsidRPr="00C0001C">
              <w:rPr>
                <w:rFonts w:asciiTheme="minorHAnsi" w:hAnsiTheme="minorHAnsi" w:cs="Arial"/>
                <w:b/>
                <w:bCs/>
                <w:sz w:val="18"/>
                <w:szCs w:val="18"/>
              </w:rPr>
              <w:t>Celkové investičné náklady</w:t>
            </w:r>
          </w:p>
        </w:tc>
        <w:tc>
          <w:tcPr>
            <w:tcW w:w="992" w:type="dxa"/>
            <w:shd w:val="clear" w:color="auto" w:fill="BDD6EE" w:themeFill="accent1" w:themeFillTint="66"/>
            <w:noWrap/>
            <w:vAlign w:val="center"/>
            <w:hideMark/>
          </w:tcPr>
          <w:p w14:paraId="653AA700" w14:textId="29328C3E"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3 011 853</w:t>
            </w:r>
          </w:p>
        </w:tc>
        <w:tc>
          <w:tcPr>
            <w:tcW w:w="992" w:type="dxa"/>
            <w:shd w:val="clear" w:color="auto" w:fill="BDD6EE" w:themeFill="accent1" w:themeFillTint="66"/>
            <w:noWrap/>
            <w:vAlign w:val="center"/>
            <w:hideMark/>
          </w:tcPr>
          <w:p w14:paraId="162599F9" w14:textId="133AE551"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3 011 853</w:t>
            </w:r>
          </w:p>
        </w:tc>
        <w:tc>
          <w:tcPr>
            <w:tcW w:w="992" w:type="dxa"/>
            <w:shd w:val="clear" w:color="auto" w:fill="BDD6EE" w:themeFill="accent1" w:themeFillTint="66"/>
            <w:noWrap/>
            <w:vAlign w:val="center"/>
          </w:tcPr>
          <w:p w14:paraId="3B90994F" w14:textId="1BACDFB2" w:rsidR="000A4BF0" w:rsidRPr="00180F09" w:rsidRDefault="000A4BF0" w:rsidP="000A4BF0">
            <w:pPr>
              <w:spacing w:before="0" w:after="0" w:line="240" w:lineRule="auto"/>
              <w:jc w:val="right"/>
              <w:rPr>
                <w:rFonts w:asciiTheme="minorHAnsi" w:hAnsiTheme="minorHAnsi" w:cs="Arial"/>
                <w:b/>
                <w:bCs/>
                <w:sz w:val="18"/>
                <w:szCs w:val="18"/>
              </w:rPr>
            </w:pPr>
          </w:p>
        </w:tc>
        <w:tc>
          <w:tcPr>
            <w:tcW w:w="992" w:type="dxa"/>
            <w:shd w:val="clear" w:color="auto" w:fill="BDD6EE" w:themeFill="accent1" w:themeFillTint="66"/>
            <w:noWrap/>
            <w:vAlign w:val="center"/>
            <w:hideMark/>
          </w:tcPr>
          <w:p w14:paraId="355639DA" w14:textId="77777777" w:rsidR="000A4BF0" w:rsidRPr="00C0001C" w:rsidRDefault="000A4BF0" w:rsidP="000A4BF0">
            <w:pPr>
              <w:spacing w:before="0" w:after="0" w:line="240" w:lineRule="auto"/>
              <w:jc w:val="right"/>
              <w:rPr>
                <w:rFonts w:asciiTheme="minorHAnsi" w:hAnsiTheme="minorHAnsi" w:cs="Arial"/>
                <w:b/>
                <w:bCs/>
                <w:sz w:val="18"/>
                <w:szCs w:val="18"/>
              </w:rPr>
            </w:pPr>
            <w:r w:rsidRPr="00C0001C">
              <w:rPr>
                <w:rFonts w:asciiTheme="minorHAnsi" w:hAnsiTheme="minorHAnsi" w:cs="Arial"/>
                <w:b/>
                <w:bCs/>
                <w:sz w:val="18"/>
                <w:szCs w:val="18"/>
              </w:rPr>
              <w:t>0</w:t>
            </w:r>
          </w:p>
        </w:tc>
        <w:tc>
          <w:tcPr>
            <w:tcW w:w="992" w:type="dxa"/>
            <w:shd w:val="clear" w:color="auto" w:fill="BDD6EE" w:themeFill="accent1" w:themeFillTint="66"/>
            <w:noWrap/>
            <w:vAlign w:val="center"/>
            <w:hideMark/>
          </w:tcPr>
          <w:p w14:paraId="47F624FB" w14:textId="77777777" w:rsidR="000A4BF0" w:rsidRPr="00C0001C" w:rsidRDefault="000A4BF0" w:rsidP="000A4BF0">
            <w:pPr>
              <w:spacing w:before="0" w:after="0" w:line="240" w:lineRule="auto"/>
              <w:jc w:val="right"/>
              <w:rPr>
                <w:rFonts w:asciiTheme="minorHAnsi" w:hAnsiTheme="minorHAnsi" w:cs="Arial"/>
                <w:b/>
                <w:bCs/>
                <w:sz w:val="18"/>
                <w:szCs w:val="18"/>
              </w:rPr>
            </w:pPr>
            <w:r w:rsidRPr="00C0001C">
              <w:rPr>
                <w:rFonts w:asciiTheme="minorHAnsi" w:hAnsiTheme="minorHAnsi" w:cs="Arial"/>
                <w:b/>
                <w:bCs/>
                <w:sz w:val="18"/>
                <w:szCs w:val="18"/>
              </w:rPr>
              <w:t>0</w:t>
            </w:r>
          </w:p>
        </w:tc>
        <w:tc>
          <w:tcPr>
            <w:tcW w:w="993" w:type="dxa"/>
            <w:shd w:val="clear" w:color="auto" w:fill="BDD6EE" w:themeFill="accent1" w:themeFillTint="66"/>
            <w:noWrap/>
            <w:vAlign w:val="center"/>
            <w:hideMark/>
          </w:tcPr>
          <w:p w14:paraId="48F58148" w14:textId="77777777" w:rsidR="000A4BF0" w:rsidRPr="00C0001C" w:rsidRDefault="000A4BF0" w:rsidP="000A4BF0">
            <w:pPr>
              <w:spacing w:before="0" w:after="0" w:line="240" w:lineRule="auto"/>
              <w:jc w:val="right"/>
              <w:rPr>
                <w:rFonts w:asciiTheme="minorHAnsi" w:hAnsiTheme="minorHAnsi" w:cs="Arial"/>
                <w:b/>
                <w:bCs/>
                <w:sz w:val="18"/>
                <w:szCs w:val="18"/>
              </w:rPr>
            </w:pPr>
            <w:r w:rsidRPr="00C0001C">
              <w:rPr>
                <w:rFonts w:asciiTheme="minorHAnsi" w:hAnsiTheme="minorHAnsi" w:cs="Arial"/>
                <w:b/>
                <w:bCs/>
                <w:sz w:val="18"/>
                <w:szCs w:val="18"/>
              </w:rPr>
              <w:t>0</w:t>
            </w:r>
          </w:p>
        </w:tc>
      </w:tr>
    </w:tbl>
    <w:p w14:paraId="3DFA5CCD" w14:textId="3ACB18A2" w:rsidR="00D7676E" w:rsidRDefault="002302CC" w:rsidP="00D7676E">
      <w:r w:rsidRPr="00DA4343">
        <w:rPr>
          <w:i/>
          <w:sz w:val="16"/>
        </w:rPr>
        <w:t xml:space="preserve">Zdroj: Príloha 1, hárok </w:t>
      </w:r>
      <w:r>
        <w:rPr>
          <w:i/>
          <w:sz w:val="16"/>
        </w:rPr>
        <w:t>01</w:t>
      </w:r>
    </w:p>
    <w:p w14:paraId="7CAC4EB7" w14:textId="77777777" w:rsidR="004C1394" w:rsidRDefault="004C1394" w:rsidP="00D7676E"/>
    <w:p w14:paraId="48C6E85C" w14:textId="765381ED" w:rsidR="00D7676E" w:rsidRDefault="00D7676E" w:rsidP="00D7676E">
      <w:r>
        <w:t>Ekonomické investičné náklady boli stanovené s po</w:t>
      </w:r>
      <w:r w:rsidR="00A26841">
        <w:t>u</w:t>
      </w:r>
      <w:r>
        <w:t>žitím konverzných faktorov podľa časti 5.2 metodiky CBA, tabuľka 18.</w:t>
      </w:r>
    </w:p>
    <w:p w14:paraId="11CCDAA1" w14:textId="69F01715" w:rsidR="00D7676E" w:rsidRDefault="00D7676E" w:rsidP="00D7676E">
      <w:pPr>
        <w:pStyle w:val="Caption"/>
      </w:pPr>
      <w:r>
        <w:t xml:space="preserve">Tab. </w:t>
      </w:r>
      <w:r>
        <w:fldChar w:fldCharType="begin"/>
      </w:r>
      <w:r>
        <w:instrText xml:space="preserve"> SEQ Tab. \* ARABIC </w:instrText>
      </w:r>
      <w:r>
        <w:fldChar w:fldCharType="separate"/>
      </w:r>
      <w:r w:rsidR="00A86720">
        <w:rPr>
          <w:noProof/>
        </w:rPr>
        <w:t>52</w:t>
      </w:r>
      <w:r>
        <w:fldChar w:fldCharType="end"/>
      </w:r>
      <w:r>
        <w:t xml:space="preserve"> – Investičné náklady, použité fiškálne konverzné faktory</w:t>
      </w:r>
    </w:p>
    <w:tbl>
      <w:tblPr>
        <w:tblW w:w="923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261"/>
        <w:gridCol w:w="2081"/>
        <w:gridCol w:w="8"/>
        <w:gridCol w:w="2021"/>
        <w:gridCol w:w="1852"/>
        <w:gridCol w:w="8"/>
      </w:tblGrid>
      <w:tr w:rsidR="00D7676E" w:rsidRPr="00260FF6" w14:paraId="77059EF7" w14:textId="77777777" w:rsidTr="00CB5E2B">
        <w:trPr>
          <w:trHeight w:val="225"/>
        </w:trPr>
        <w:tc>
          <w:tcPr>
            <w:tcW w:w="5350" w:type="dxa"/>
            <w:gridSpan w:val="3"/>
            <w:vMerge w:val="restart"/>
            <w:shd w:val="clear" w:color="auto" w:fill="BDD6EE" w:themeFill="accent1" w:themeFillTint="66"/>
            <w:noWrap/>
            <w:vAlign w:val="center"/>
          </w:tcPr>
          <w:p w14:paraId="7AEC17B8" w14:textId="77777777"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Fiškálne konverzné faktory</w:t>
            </w:r>
          </w:p>
        </w:tc>
        <w:tc>
          <w:tcPr>
            <w:tcW w:w="3881" w:type="dxa"/>
            <w:gridSpan w:val="3"/>
            <w:shd w:val="clear" w:color="auto" w:fill="BDD6EE" w:themeFill="accent1" w:themeFillTint="66"/>
            <w:vAlign w:val="center"/>
          </w:tcPr>
          <w:p w14:paraId="4E56E7C0" w14:textId="77777777"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Rozdelenie nákladov na výrobné faktory</w:t>
            </w:r>
          </w:p>
        </w:tc>
      </w:tr>
      <w:tr w:rsidR="00D7676E" w:rsidRPr="00260FF6" w14:paraId="346EDD20" w14:textId="77777777" w:rsidTr="00CB5E2B">
        <w:trPr>
          <w:trHeight w:val="225"/>
        </w:trPr>
        <w:tc>
          <w:tcPr>
            <w:tcW w:w="5350" w:type="dxa"/>
            <w:gridSpan w:val="3"/>
            <w:vMerge/>
            <w:shd w:val="clear" w:color="auto" w:fill="BDD6EE" w:themeFill="accent1" w:themeFillTint="66"/>
            <w:noWrap/>
            <w:vAlign w:val="center"/>
          </w:tcPr>
          <w:p w14:paraId="2DB0715A" w14:textId="77777777" w:rsidR="00D7676E" w:rsidRPr="00260FF6" w:rsidRDefault="00D7676E" w:rsidP="00CB5E2B">
            <w:pPr>
              <w:spacing w:before="0" w:after="0" w:line="240" w:lineRule="auto"/>
              <w:jc w:val="center"/>
              <w:rPr>
                <w:rFonts w:asciiTheme="minorHAnsi" w:hAnsiTheme="minorHAnsi" w:cs="Arial"/>
                <w:sz w:val="18"/>
                <w:szCs w:val="18"/>
              </w:rPr>
            </w:pPr>
          </w:p>
        </w:tc>
        <w:tc>
          <w:tcPr>
            <w:tcW w:w="2021" w:type="dxa"/>
            <w:shd w:val="clear" w:color="auto" w:fill="BDD6EE" w:themeFill="accent1" w:themeFillTint="66"/>
            <w:vAlign w:val="center"/>
          </w:tcPr>
          <w:p w14:paraId="64F95AD7" w14:textId="77777777" w:rsidR="00D7676E" w:rsidRPr="00260FF6" w:rsidRDefault="00D7676E" w:rsidP="00CB5E2B">
            <w:pPr>
              <w:spacing w:before="0" w:after="0" w:line="240" w:lineRule="auto"/>
              <w:jc w:val="center"/>
              <w:rPr>
                <w:rFonts w:asciiTheme="minorHAnsi" w:hAnsiTheme="minorHAnsi" w:cs="Arial"/>
                <w:sz w:val="18"/>
                <w:szCs w:val="18"/>
              </w:rPr>
            </w:pPr>
            <w:r w:rsidRPr="00C0001C">
              <w:rPr>
                <w:rFonts w:asciiTheme="minorHAnsi" w:hAnsiTheme="minorHAnsi" w:cs="Arial"/>
                <w:sz w:val="18"/>
                <w:szCs w:val="18"/>
              </w:rPr>
              <w:t>Technológia a zariadenia</w:t>
            </w:r>
          </w:p>
        </w:tc>
        <w:tc>
          <w:tcPr>
            <w:tcW w:w="1860" w:type="dxa"/>
            <w:gridSpan w:val="2"/>
            <w:shd w:val="clear" w:color="auto" w:fill="BDD6EE" w:themeFill="accent1" w:themeFillTint="66"/>
            <w:vAlign w:val="center"/>
          </w:tcPr>
          <w:p w14:paraId="4D1EDF71" w14:textId="614E02E4" w:rsidR="00D7676E" w:rsidRPr="00260FF6" w:rsidRDefault="00D7676E" w:rsidP="00CB5E2B">
            <w:pPr>
              <w:spacing w:before="0" w:after="0" w:line="240" w:lineRule="auto"/>
              <w:jc w:val="center"/>
              <w:rPr>
                <w:rFonts w:asciiTheme="minorHAnsi" w:hAnsiTheme="minorHAnsi" w:cs="Arial"/>
                <w:sz w:val="18"/>
                <w:szCs w:val="18"/>
              </w:rPr>
            </w:pPr>
            <w:r w:rsidRPr="00C0001C">
              <w:rPr>
                <w:rFonts w:asciiTheme="minorHAnsi" w:hAnsiTheme="minorHAnsi" w:cs="Arial"/>
                <w:sz w:val="18"/>
                <w:szCs w:val="18"/>
              </w:rPr>
              <w:t>Iné služby</w:t>
            </w:r>
            <w:r w:rsidR="004E0519">
              <w:rPr>
                <w:rFonts w:asciiTheme="minorHAnsi" w:hAnsiTheme="minorHAnsi" w:cs="Arial"/>
                <w:sz w:val="18"/>
                <w:szCs w:val="18"/>
              </w:rPr>
              <w:t xml:space="preserve"> (projektovanie)</w:t>
            </w:r>
          </w:p>
        </w:tc>
      </w:tr>
      <w:tr w:rsidR="00D7676E" w:rsidRPr="00260FF6" w14:paraId="4A88034E" w14:textId="77777777" w:rsidTr="00CB5E2B">
        <w:trPr>
          <w:gridAfter w:val="1"/>
          <w:wAfter w:w="8" w:type="dxa"/>
          <w:trHeight w:val="225"/>
        </w:trPr>
        <w:tc>
          <w:tcPr>
            <w:tcW w:w="3261" w:type="dxa"/>
            <w:shd w:val="clear" w:color="auto" w:fill="DEEAF6" w:themeFill="accent1" w:themeFillTint="33"/>
            <w:noWrap/>
            <w:vAlign w:val="center"/>
            <w:hideMark/>
          </w:tcPr>
          <w:p w14:paraId="1C25DDC2" w14:textId="77777777" w:rsidR="00D7676E" w:rsidRPr="00AD32AA" w:rsidRDefault="00D7676E" w:rsidP="00CB5E2B">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Personálne výdavky</w:t>
            </w:r>
          </w:p>
        </w:tc>
        <w:tc>
          <w:tcPr>
            <w:tcW w:w="2081" w:type="dxa"/>
            <w:shd w:val="clear" w:color="auto" w:fill="auto"/>
            <w:noWrap/>
            <w:vAlign w:val="center"/>
            <w:hideMark/>
          </w:tcPr>
          <w:p w14:paraId="73B919BD" w14:textId="77777777" w:rsidR="00D7676E" w:rsidRPr="00AD32AA" w:rsidRDefault="00D7676E" w:rsidP="00CB5E2B">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0,9</w:t>
            </w:r>
          </w:p>
        </w:tc>
        <w:tc>
          <w:tcPr>
            <w:tcW w:w="2029" w:type="dxa"/>
            <w:gridSpan w:val="2"/>
            <w:vAlign w:val="center"/>
          </w:tcPr>
          <w:p w14:paraId="1F1D65B1" w14:textId="13AB6AEB"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25</w:t>
            </w:r>
            <w:r w:rsidR="00532C7C">
              <w:rPr>
                <w:rFonts w:asciiTheme="minorHAnsi" w:hAnsiTheme="minorHAnsi" w:cs="Arial"/>
                <w:sz w:val="18"/>
                <w:szCs w:val="18"/>
              </w:rPr>
              <w:t xml:space="preserve"> </w:t>
            </w:r>
            <w:r w:rsidRPr="00260FF6">
              <w:rPr>
                <w:rFonts w:asciiTheme="minorHAnsi" w:hAnsiTheme="minorHAnsi" w:cs="Arial"/>
                <w:sz w:val="18"/>
                <w:szCs w:val="18"/>
              </w:rPr>
              <w:t>%</w:t>
            </w:r>
          </w:p>
        </w:tc>
        <w:tc>
          <w:tcPr>
            <w:tcW w:w="1852" w:type="dxa"/>
            <w:vAlign w:val="center"/>
          </w:tcPr>
          <w:p w14:paraId="45D2FEDB" w14:textId="32DF36A6"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70</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D7676E" w:rsidRPr="00260FF6" w14:paraId="4349CF13" w14:textId="77777777" w:rsidTr="00CB5E2B">
        <w:trPr>
          <w:gridAfter w:val="1"/>
          <w:wAfter w:w="8" w:type="dxa"/>
          <w:trHeight w:val="225"/>
        </w:trPr>
        <w:tc>
          <w:tcPr>
            <w:tcW w:w="3261" w:type="dxa"/>
            <w:shd w:val="clear" w:color="auto" w:fill="DEEAF6" w:themeFill="accent1" w:themeFillTint="33"/>
            <w:noWrap/>
            <w:vAlign w:val="center"/>
            <w:hideMark/>
          </w:tcPr>
          <w:p w14:paraId="5EF3A8D1" w14:textId="77777777" w:rsidR="00D7676E" w:rsidRPr="00AD32AA" w:rsidRDefault="00D7676E" w:rsidP="00CB5E2B">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Pohonné hmoty</w:t>
            </w:r>
          </w:p>
        </w:tc>
        <w:tc>
          <w:tcPr>
            <w:tcW w:w="2081" w:type="dxa"/>
            <w:shd w:val="clear" w:color="auto" w:fill="auto"/>
            <w:noWrap/>
            <w:vAlign w:val="center"/>
            <w:hideMark/>
          </w:tcPr>
          <w:p w14:paraId="44A03FD4" w14:textId="77777777" w:rsidR="00D7676E" w:rsidRPr="00AD32AA" w:rsidRDefault="00D7676E" w:rsidP="00CB5E2B">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0,5</w:t>
            </w:r>
          </w:p>
        </w:tc>
        <w:tc>
          <w:tcPr>
            <w:tcW w:w="2029" w:type="dxa"/>
            <w:gridSpan w:val="2"/>
            <w:vAlign w:val="center"/>
          </w:tcPr>
          <w:p w14:paraId="52BD830D" w14:textId="4FBDA75B"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15</w:t>
            </w:r>
            <w:r w:rsidR="00532C7C">
              <w:rPr>
                <w:rFonts w:asciiTheme="minorHAnsi" w:hAnsiTheme="minorHAnsi" w:cs="Arial"/>
                <w:sz w:val="18"/>
                <w:szCs w:val="18"/>
              </w:rPr>
              <w:t xml:space="preserve"> </w:t>
            </w:r>
            <w:r w:rsidRPr="00260FF6">
              <w:rPr>
                <w:rFonts w:asciiTheme="minorHAnsi" w:hAnsiTheme="minorHAnsi" w:cs="Arial"/>
                <w:sz w:val="18"/>
                <w:szCs w:val="18"/>
              </w:rPr>
              <w:t>%</w:t>
            </w:r>
          </w:p>
        </w:tc>
        <w:tc>
          <w:tcPr>
            <w:tcW w:w="1852" w:type="dxa"/>
            <w:vAlign w:val="center"/>
          </w:tcPr>
          <w:p w14:paraId="4B597E29" w14:textId="171A5D15"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D7676E" w:rsidRPr="00260FF6" w14:paraId="51C2744A" w14:textId="77777777" w:rsidTr="00CB5E2B">
        <w:trPr>
          <w:gridAfter w:val="1"/>
          <w:wAfter w:w="8" w:type="dxa"/>
          <w:trHeight w:val="225"/>
        </w:trPr>
        <w:tc>
          <w:tcPr>
            <w:tcW w:w="3261" w:type="dxa"/>
            <w:shd w:val="clear" w:color="auto" w:fill="DEEAF6" w:themeFill="accent1" w:themeFillTint="33"/>
            <w:noWrap/>
            <w:vAlign w:val="center"/>
            <w:hideMark/>
          </w:tcPr>
          <w:p w14:paraId="0199E020" w14:textId="77777777" w:rsidR="00D7676E" w:rsidRPr="00AD32AA" w:rsidRDefault="00D7676E" w:rsidP="00CB5E2B">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Materiál a osta</w:t>
            </w:r>
            <w:r>
              <w:rPr>
                <w:rFonts w:asciiTheme="minorHAnsi" w:hAnsiTheme="minorHAnsi" w:cs="Arial"/>
                <w:sz w:val="18"/>
                <w:szCs w:val="18"/>
              </w:rPr>
              <w:t>t</w:t>
            </w:r>
            <w:r w:rsidRPr="00AD32AA">
              <w:rPr>
                <w:rFonts w:asciiTheme="minorHAnsi" w:hAnsiTheme="minorHAnsi" w:cs="Arial"/>
                <w:sz w:val="18"/>
                <w:szCs w:val="18"/>
              </w:rPr>
              <w:t>né zdroje</w:t>
            </w:r>
          </w:p>
        </w:tc>
        <w:tc>
          <w:tcPr>
            <w:tcW w:w="2081" w:type="dxa"/>
            <w:shd w:val="clear" w:color="auto" w:fill="auto"/>
            <w:noWrap/>
            <w:vAlign w:val="center"/>
            <w:hideMark/>
          </w:tcPr>
          <w:p w14:paraId="0737E566" w14:textId="77777777" w:rsidR="00D7676E" w:rsidRPr="00AD32AA" w:rsidRDefault="00D7676E" w:rsidP="00CB5E2B">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1,0</w:t>
            </w:r>
          </w:p>
        </w:tc>
        <w:tc>
          <w:tcPr>
            <w:tcW w:w="2029" w:type="dxa"/>
            <w:gridSpan w:val="2"/>
            <w:vAlign w:val="center"/>
          </w:tcPr>
          <w:p w14:paraId="06682F42" w14:textId="5B469E11"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60</w:t>
            </w:r>
            <w:r w:rsidR="00532C7C">
              <w:rPr>
                <w:rFonts w:asciiTheme="minorHAnsi" w:hAnsiTheme="minorHAnsi" w:cs="Arial"/>
                <w:sz w:val="18"/>
                <w:szCs w:val="18"/>
              </w:rPr>
              <w:t xml:space="preserve"> </w:t>
            </w:r>
            <w:r w:rsidRPr="00260FF6">
              <w:rPr>
                <w:rFonts w:asciiTheme="minorHAnsi" w:hAnsiTheme="minorHAnsi" w:cs="Arial"/>
                <w:sz w:val="18"/>
                <w:szCs w:val="18"/>
              </w:rPr>
              <w:t>%</w:t>
            </w:r>
          </w:p>
        </w:tc>
        <w:tc>
          <w:tcPr>
            <w:tcW w:w="1852" w:type="dxa"/>
            <w:vAlign w:val="center"/>
          </w:tcPr>
          <w:p w14:paraId="65E9B49A" w14:textId="5DA919AD" w:rsidR="00D7676E" w:rsidRPr="00260FF6" w:rsidRDefault="00D7676E"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25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bl>
    <w:p w14:paraId="2BF4121A" w14:textId="7D54E39F" w:rsidR="00D7676E" w:rsidRDefault="002302CC" w:rsidP="00D7676E">
      <w:pPr>
        <w:rPr>
          <w:i/>
          <w:sz w:val="16"/>
        </w:rPr>
      </w:pPr>
      <w:r w:rsidRPr="00DA4343">
        <w:rPr>
          <w:i/>
          <w:sz w:val="16"/>
        </w:rPr>
        <w:t xml:space="preserve">Zdroj: Príloha 1, hárok </w:t>
      </w:r>
      <w:r>
        <w:rPr>
          <w:i/>
          <w:sz w:val="16"/>
        </w:rPr>
        <w:t>‚Parametre‘</w:t>
      </w:r>
    </w:p>
    <w:p w14:paraId="3CAD512F" w14:textId="77777777" w:rsidR="002302CC" w:rsidRDefault="002302CC" w:rsidP="00D7676E"/>
    <w:p w14:paraId="4BA1F96A" w14:textId="77777777" w:rsidR="00D7676E" w:rsidRDefault="00D7676E" w:rsidP="00A40297">
      <w:pPr>
        <w:pStyle w:val="Heading3"/>
      </w:pPr>
      <w:bookmarkStart w:id="167" w:name="_Toc33006416"/>
      <w:bookmarkStart w:id="168" w:name="_Toc87348761"/>
      <w:r>
        <w:t>Prevádzkové náklady – Ekonomické</w:t>
      </w:r>
      <w:bookmarkEnd w:id="167"/>
      <w:bookmarkEnd w:id="168"/>
      <w:r>
        <w:t xml:space="preserve"> </w:t>
      </w:r>
    </w:p>
    <w:p w14:paraId="1FEA41D5" w14:textId="1CBB4B27" w:rsidR="00D7676E" w:rsidRDefault="00D7676E" w:rsidP="00D7676E">
      <w:r>
        <w:t>Ekonomické prevádzkové náklady sú stanovené pomocou konverzného faktoru „výber mýta“. V tabuľkách nižšie sú uvedené inkrementálne výdavky – výdavky daného variantu po odrátaní výdavkov nulového variantu.</w:t>
      </w:r>
    </w:p>
    <w:p w14:paraId="5B0C833E" w14:textId="12256FD2" w:rsidR="00D7676E" w:rsidRDefault="00D7676E" w:rsidP="00D7676E">
      <w:pPr>
        <w:pStyle w:val="Caption"/>
      </w:pPr>
      <w:r>
        <w:t xml:space="preserve">Tab. </w:t>
      </w:r>
      <w:r>
        <w:fldChar w:fldCharType="begin"/>
      </w:r>
      <w:r>
        <w:instrText xml:space="preserve"> SEQ Tab. \* ARABIC </w:instrText>
      </w:r>
      <w:r>
        <w:fldChar w:fldCharType="separate"/>
      </w:r>
      <w:r w:rsidR="00A86720">
        <w:rPr>
          <w:noProof/>
        </w:rPr>
        <w:t>53</w:t>
      </w:r>
      <w:r>
        <w:fldChar w:fldCharType="end"/>
      </w:r>
      <w:r>
        <w:t xml:space="preserve"> - Prevádzkové </w:t>
      </w:r>
      <w:r w:rsidR="002302CC">
        <w:t>náklady</w:t>
      </w:r>
      <w:r>
        <w:t xml:space="preserve">, ekonomické prírastkové, variant </w:t>
      </w:r>
      <w:r w:rsidR="00DD56D5">
        <w:t>1</w:t>
      </w:r>
    </w:p>
    <w:tbl>
      <w:tblPr>
        <w:tblW w:w="92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D7676E" w:rsidRPr="00313F9C" w14:paraId="5A96FE55" w14:textId="77777777" w:rsidTr="00D7676E">
        <w:trPr>
          <w:trHeight w:val="225"/>
        </w:trPr>
        <w:tc>
          <w:tcPr>
            <w:tcW w:w="2977" w:type="dxa"/>
            <w:shd w:val="clear" w:color="auto" w:fill="BDD6EE" w:themeFill="accent1" w:themeFillTint="66"/>
            <w:noWrap/>
            <w:vAlign w:val="bottom"/>
            <w:hideMark/>
          </w:tcPr>
          <w:p w14:paraId="12534409" w14:textId="3089828B" w:rsidR="00D7676E" w:rsidRPr="005A7D49" w:rsidRDefault="00D7676E" w:rsidP="002302CC">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 xml:space="preserve">3.4 Prevádzkové </w:t>
            </w:r>
            <w:r w:rsidR="002302CC" w:rsidRPr="005A7D49">
              <w:rPr>
                <w:rFonts w:asciiTheme="minorHAnsi" w:hAnsiTheme="minorHAnsi" w:cstheme="minorHAnsi"/>
                <w:b/>
                <w:bCs/>
                <w:sz w:val="18"/>
                <w:szCs w:val="18"/>
              </w:rPr>
              <w:t>náklady</w:t>
            </w:r>
            <w:r w:rsidRPr="005A7D49">
              <w:rPr>
                <w:rFonts w:asciiTheme="minorHAnsi" w:hAnsiTheme="minorHAnsi" w:cstheme="minorHAnsi"/>
                <w:b/>
                <w:bCs/>
                <w:sz w:val="18"/>
                <w:szCs w:val="18"/>
              </w:rPr>
              <w:t xml:space="preserve"> (ekonomické)</w:t>
            </w:r>
            <w:r w:rsidRPr="005A7D49">
              <w:rPr>
                <w:rFonts w:asciiTheme="minorHAnsi" w:hAnsiTheme="minorHAnsi" w:cstheme="minorHAnsi"/>
                <w:b/>
                <w:bCs/>
                <w:sz w:val="18"/>
                <w:szCs w:val="18"/>
              </w:rPr>
              <w:br/>
              <w:t>Inkrementálne (PRÍRASTKOVÉ)</w:t>
            </w:r>
          </w:p>
        </w:tc>
        <w:tc>
          <w:tcPr>
            <w:tcW w:w="1380" w:type="dxa"/>
            <w:shd w:val="clear" w:color="auto" w:fill="BDD6EE" w:themeFill="accent1" w:themeFillTint="66"/>
            <w:noWrap/>
            <w:vAlign w:val="center"/>
            <w:hideMark/>
          </w:tcPr>
          <w:p w14:paraId="1F65D9B3" w14:textId="77777777" w:rsidR="00D7676E" w:rsidRPr="005A7D49" w:rsidRDefault="00D7676E" w:rsidP="00D7676E">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shd w:val="clear" w:color="auto" w:fill="BDD6EE" w:themeFill="accent1" w:themeFillTint="66"/>
            <w:noWrap/>
            <w:vAlign w:val="center"/>
            <w:hideMark/>
          </w:tcPr>
          <w:p w14:paraId="215D65FF" w14:textId="77777777" w:rsidR="00D7676E" w:rsidRPr="005A7D49" w:rsidRDefault="00D7676E" w:rsidP="00CB5E2B">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2022</w:t>
            </w:r>
          </w:p>
        </w:tc>
        <w:tc>
          <w:tcPr>
            <w:tcW w:w="980" w:type="dxa"/>
            <w:shd w:val="clear" w:color="auto" w:fill="BDD6EE" w:themeFill="accent1" w:themeFillTint="66"/>
            <w:noWrap/>
            <w:vAlign w:val="center"/>
            <w:hideMark/>
          </w:tcPr>
          <w:p w14:paraId="171EA36F" w14:textId="77777777" w:rsidR="00D7676E" w:rsidRPr="005A7D49" w:rsidRDefault="00D7676E" w:rsidP="00CB5E2B">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2023</w:t>
            </w:r>
          </w:p>
        </w:tc>
        <w:tc>
          <w:tcPr>
            <w:tcW w:w="980" w:type="dxa"/>
            <w:shd w:val="clear" w:color="auto" w:fill="BDD6EE" w:themeFill="accent1" w:themeFillTint="66"/>
            <w:noWrap/>
            <w:vAlign w:val="center"/>
            <w:hideMark/>
          </w:tcPr>
          <w:p w14:paraId="0D708ADB" w14:textId="77777777" w:rsidR="00D7676E" w:rsidRPr="005A7D49" w:rsidRDefault="00D7676E" w:rsidP="00CB5E2B">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2024</w:t>
            </w:r>
          </w:p>
        </w:tc>
        <w:tc>
          <w:tcPr>
            <w:tcW w:w="980" w:type="dxa"/>
            <w:shd w:val="clear" w:color="auto" w:fill="BDD6EE" w:themeFill="accent1" w:themeFillTint="66"/>
            <w:noWrap/>
            <w:vAlign w:val="center"/>
            <w:hideMark/>
          </w:tcPr>
          <w:p w14:paraId="318BA982" w14:textId="77777777" w:rsidR="00D7676E" w:rsidRPr="005A7D49" w:rsidRDefault="00D7676E" w:rsidP="00CB5E2B">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2025</w:t>
            </w:r>
          </w:p>
        </w:tc>
        <w:tc>
          <w:tcPr>
            <w:tcW w:w="980" w:type="dxa"/>
            <w:shd w:val="clear" w:color="auto" w:fill="BDD6EE" w:themeFill="accent1" w:themeFillTint="66"/>
            <w:noWrap/>
            <w:vAlign w:val="center"/>
            <w:hideMark/>
          </w:tcPr>
          <w:p w14:paraId="55F2B1AC" w14:textId="77777777" w:rsidR="00D7676E" w:rsidRPr="005A7D49" w:rsidRDefault="00D7676E" w:rsidP="00CB5E2B">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2026</w:t>
            </w:r>
          </w:p>
        </w:tc>
      </w:tr>
      <w:tr w:rsidR="00D7676E" w:rsidRPr="00313F9C" w14:paraId="6F077222" w14:textId="77777777" w:rsidTr="00CB5E2B">
        <w:trPr>
          <w:trHeight w:val="225"/>
        </w:trPr>
        <w:tc>
          <w:tcPr>
            <w:tcW w:w="2977" w:type="dxa"/>
            <w:shd w:val="clear" w:color="auto" w:fill="DEEAF6" w:themeFill="accent1" w:themeFillTint="33"/>
            <w:noWrap/>
            <w:vAlign w:val="bottom"/>
            <w:hideMark/>
          </w:tcPr>
          <w:p w14:paraId="6DA7DD77"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shd w:val="clear" w:color="auto" w:fill="auto"/>
            <w:noWrap/>
            <w:vAlign w:val="bottom"/>
            <w:hideMark/>
          </w:tcPr>
          <w:p w14:paraId="5BE80F39" w14:textId="77777777" w:rsidR="00D7676E" w:rsidRPr="005A7D49" w:rsidRDefault="00D7676E" w:rsidP="00CB5E2B">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709CD43F"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4B876D39"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2575F2C2"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38EEC828"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3B816B8A"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D7676E" w:rsidRPr="00313F9C" w14:paraId="1D4EFEED" w14:textId="77777777" w:rsidTr="00CB5E2B">
        <w:trPr>
          <w:trHeight w:val="225"/>
        </w:trPr>
        <w:tc>
          <w:tcPr>
            <w:tcW w:w="2977" w:type="dxa"/>
            <w:shd w:val="clear" w:color="auto" w:fill="DEEAF6" w:themeFill="accent1" w:themeFillTint="33"/>
            <w:noWrap/>
            <w:vAlign w:val="bottom"/>
            <w:hideMark/>
          </w:tcPr>
          <w:p w14:paraId="0BB27CDD"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shd w:val="clear" w:color="auto" w:fill="auto"/>
            <w:noWrap/>
            <w:vAlign w:val="bottom"/>
            <w:hideMark/>
          </w:tcPr>
          <w:p w14:paraId="596CDD29" w14:textId="77777777" w:rsidR="00D7676E" w:rsidRPr="005A7D49" w:rsidRDefault="00D7676E" w:rsidP="00CB5E2B">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406D548C"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3D5152DB"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73E466C9"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1C4814F3"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14585F5C"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D7676E" w:rsidRPr="00313F9C" w14:paraId="21AAD73E" w14:textId="77777777" w:rsidTr="00CB5E2B">
        <w:trPr>
          <w:trHeight w:val="225"/>
        </w:trPr>
        <w:tc>
          <w:tcPr>
            <w:tcW w:w="2977" w:type="dxa"/>
            <w:shd w:val="clear" w:color="auto" w:fill="DEEAF6" w:themeFill="accent1" w:themeFillTint="33"/>
            <w:noWrap/>
            <w:vAlign w:val="bottom"/>
            <w:hideMark/>
          </w:tcPr>
          <w:p w14:paraId="7A968DE8"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shd w:val="clear" w:color="auto" w:fill="auto"/>
            <w:noWrap/>
            <w:vAlign w:val="bottom"/>
            <w:hideMark/>
          </w:tcPr>
          <w:p w14:paraId="7CCEE5E1" w14:textId="77777777" w:rsidR="00D7676E" w:rsidRPr="005A7D49" w:rsidRDefault="00D7676E" w:rsidP="00CB5E2B">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bottom"/>
            <w:hideMark/>
          </w:tcPr>
          <w:p w14:paraId="2855D875"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005DD3C1"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2A913F06"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212B8D98"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bottom"/>
            <w:hideMark/>
          </w:tcPr>
          <w:p w14:paraId="1EE3BBDD" w14:textId="77777777" w:rsidR="00D7676E" w:rsidRPr="005A7D49" w:rsidRDefault="00D7676E" w:rsidP="00CB5E2B">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 </w:t>
            </w:r>
          </w:p>
        </w:tc>
      </w:tr>
      <w:tr w:rsidR="00D7676E" w:rsidRPr="00313F9C" w14:paraId="5ABAD269" w14:textId="77777777" w:rsidTr="00CB5E2B">
        <w:trPr>
          <w:trHeight w:val="225"/>
        </w:trPr>
        <w:tc>
          <w:tcPr>
            <w:tcW w:w="2977" w:type="dxa"/>
            <w:shd w:val="clear" w:color="auto" w:fill="DEEAF6" w:themeFill="accent1" w:themeFillTint="33"/>
            <w:noWrap/>
            <w:vAlign w:val="bottom"/>
            <w:hideMark/>
          </w:tcPr>
          <w:p w14:paraId="321023B7" w14:textId="77777777" w:rsidR="00D7676E" w:rsidRPr="005A7D49" w:rsidRDefault="00D7676E" w:rsidP="00CB5E2B">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shd w:val="clear" w:color="auto" w:fill="auto"/>
            <w:noWrap/>
            <w:vAlign w:val="bottom"/>
            <w:hideMark/>
          </w:tcPr>
          <w:p w14:paraId="3036F42E" w14:textId="77777777" w:rsidR="00D7676E" w:rsidRPr="005A7D49" w:rsidRDefault="00D7676E" w:rsidP="00CB5E2B">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shd w:val="clear" w:color="auto" w:fill="auto"/>
            <w:noWrap/>
            <w:vAlign w:val="bottom"/>
            <w:hideMark/>
          </w:tcPr>
          <w:p w14:paraId="4742543D" w14:textId="77777777" w:rsidR="00D7676E" w:rsidRPr="005A7D49" w:rsidRDefault="00D7676E" w:rsidP="00CB5E2B">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56A68598" w14:textId="77777777" w:rsidR="00D7676E" w:rsidRPr="005A7D49" w:rsidRDefault="00D7676E" w:rsidP="00CB5E2B">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4D600577" w14:textId="77777777" w:rsidR="00D7676E" w:rsidRPr="005A7D49" w:rsidRDefault="00D7676E" w:rsidP="00CB5E2B">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77BE799F" w14:textId="77777777" w:rsidR="00D7676E" w:rsidRPr="005A7D49" w:rsidRDefault="00D7676E" w:rsidP="00CB5E2B">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bottom"/>
            <w:hideMark/>
          </w:tcPr>
          <w:p w14:paraId="614CCF55" w14:textId="77777777" w:rsidR="00D7676E" w:rsidRPr="005A7D49" w:rsidRDefault="00D7676E" w:rsidP="00CB5E2B">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0A4BF0" w:rsidRPr="00313F9C" w14:paraId="0AC701B2" w14:textId="77777777" w:rsidTr="00EF1CB7">
        <w:trPr>
          <w:trHeight w:val="225"/>
        </w:trPr>
        <w:tc>
          <w:tcPr>
            <w:tcW w:w="2977" w:type="dxa"/>
            <w:shd w:val="clear" w:color="auto" w:fill="DEEAF6" w:themeFill="accent1" w:themeFillTint="33"/>
            <w:noWrap/>
            <w:vAlign w:val="bottom"/>
            <w:hideMark/>
          </w:tcPr>
          <w:p w14:paraId="4C26DA83" w14:textId="77777777" w:rsidR="000A4BF0" w:rsidRPr="005A7D49" w:rsidRDefault="000A4BF0" w:rsidP="000A4BF0">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shd w:val="clear" w:color="auto" w:fill="auto"/>
            <w:noWrap/>
            <w:vAlign w:val="center"/>
            <w:hideMark/>
          </w:tcPr>
          <w:p w14:paraId="0999C1AA" w14:textId="557C102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21 330</w:t>
            </w:r>
          </w:p>
        </w:tc>
        <w:tc>
          <w:tcPr>
            <w:tcW w:w="1000" w:type="dxa"/>
            <w:shd w:val="clear" w:color="auto" w:fill="auto"/>
            <w:noWrap/>
            <w:vAlign w:val="center"/>
            <w:hideMark/>
          </w:tcPr>
          <w:p w14:paraId="6AA743B6" w14:textId="13842C5E"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2 623 461</w:t>
            </w:r>
          </w:p>
        </w:tc>
        <w:tc>
          <w:tcPr>
            <w:tcW w:w="980" w:type="dxa"/>
            <w:shd w:val="clear" w:color="auto" w:fill="auto"/>
            <w:noWrap/>
            <w:vAlign w:val="center"/>
            <w:hideMark/>
          </w:tcPr>
          <w:p w14:paraId="2DDD9CB9" w14:textId="50A6CC38"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219 492</w:t>
            </w:r>
          </w:p>
        </w:tc>
        <w:tc>
          <w:tcPr>
            <w:tcW w:w="980" w:type="dxa"/>
            <w:shd w:val="clear" w:color="auto" w:fill="auto"/>
            <w:noWrap/>
            <w:vAlign w:val="center"/>
            <w:hideMark/>
          </w:tcPr>
          <w:p w14:paraId="29D2257F" w14:textId="29F5516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-414 651</w:t>
            </w:r>
          </w:p>
        </w:tc>
        <w:tc>
          <w:tcPr>
            <w:tcW w:w="980" w:type="dxa"/>
            <w:shd w:val="clear" w:color="auto" w:fill="auto"/>
            <w:noWrap/>
            <w:vAlign w:val="center"/>
            <w:hideMark/>
          </w:tcPr>
          <w:p w14:paraId="7DF54D21" w14:textId="43413DE1"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-1 026 498</w:t>
            </w:r>
          </w:p>
        </w:tc>
        <w:tc>
          <w:tcPr>
            <w:tcW w:w="980" w:type="dxa"/>
            <w:shd w:val="clear" w:color="auto" w:fill="auto"/>
            <w:noWrap/>
            <w:vAlign w:val="center"/>
            <w:hideMark/>
          </w:tcPr>
          <w:p w14:paraId="469CDC94" w14:textId="38EFA99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-1 380 474</w:t>
            </w:r>
          </w:p>
        </w:tc>
      </w:tr>
      <w:tr w:rsidR="000A4BF0" w:rsidRPr="00313F9C" w14:paraId="701CD319" w14:textId="77777777" w:rsidTr="00EF1CB7">
        <w:trPr>
          <w:trHeight w:val="225"/>
        </w:trPr>
        <w:tc>
          <w:tcPr>
            <w:tcW w:w="2977" w:type="dxa"/>
            <w:shd w:val="clear" w:color="auto" w:fill="DEEAF6" w:themeFill="accent1" w:themeFillTint="33"/>
            <w:noWrap/>
            <w:vAlign w:val="bottom"/>
            <w:hideMark/>
          </w:tcPr>
          <w:p w14:paraId="0F98BAAC" w14:textId="77777777" w:rsidR="000A4BF0" w:rsidRPr="005A7D49" w:rsidRDefault="000A4BF0" w:rsidP="000A4BF0">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shd w:val="clear" w:color="auto" w:fill="auto"/>
            <w:noWrap/>
            <w:vAlign w:val="center"/>
            <w:hideMark/>
          </w:tcPr>
          <w:p w14:paraId="713E0404" w14:textId="5D490ECB"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1000" w:type="dxa"/>
            <w:shd w:val="clear" w:color="auto" w:fill="auto"/>
            <w:noWrap/>
            <w:vAlign w:val="center"/>
            <w:hideMark/>
          </w:tcPr>
          <w:p w14:paraId="732CFBBF" w14:textId="56C969E5"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1FC2B69D" w14:textId="07F06277"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0BE471FD" w14:textId="2BFE34C4"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55F5BF4A" w14:textId="523B0C42"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c>
          <w:tcPr>
            <w:tcW w:w="980" w:type="dxa"/>
            <w:shd w:val="clear" w:color="auto" w:fill="auto"/>
            <w:noWrap/>
            <w:vAlign w:val="center"/>
            <w:hideMark/>
          </w:tcPr>
          <w:p w14:paraId="4FB8658E" w14:textId="3E521DA3" w:rsidR="000A4BF0" w:rsidRPr="00EF1CB7" w:rsidRDefault="000A4BF0" w:rsidP="000A4BF0">
            <w:pPr>
              <w:spacing w:before="0" w:after="0" w:line="240" w:lineRule="auto"/>
              <w:jc w:val="right"/>
              <w:rPr>
                <w:rFonts w:asciiTheme="minorHAnsi" w:hAnsiTheme="minorHAnsi" w:cstheme="minorHAnsi"/>
                <w:sz w:val="18"/>
                <w:szCs w:val="18"/>
              </w:rPr>
            </w:pPr>
            <w:r>
              <w:rPr>
                <w:rFonts w:cs="Arial"/>
                <w:sz w:val="16"/>
                <w:szCs w:val="16"/>
              </w:rPr>
              <w:t>0</w:t>
            </w:r>
          </w:p>
        </w:tc>
      </w:tr>
      <w:tr w:rsidR="000A4BF0" w:rsidRPr="00313F9C" w14:paraId="72F4E74F" w14:textId="77777777" w:rsidTr="00EF1CB7">
        <w:trPr>
          <w:trHeight w:val="240"/>
        </w:trPr>
        <w:tc>
          <w:tcPr>
            <w:tcW w:w="2977" w:type="dxa"/>
            <w:shd w:val="clear" w:color="auto" w:fill="DEEAF6" w:themeFill="accent1" w:themeFillTint="33"/>
            <w:noWrap/>
            <w:vAlign w:val="bottom"/>
            <w:hideMark/>
          </w:tcPr>
          <w:p w14:paraId="1CDB501C" w14:textId="77777777" w:rsidR="000A4BF0" w:rsidRPr="005A7D49" w:rsidRDefault="000A4BF0" w:rsidP="000A4BF0">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shd w:val="clear" w:color="auto" w:fill="auto"/>
            <w:noWrap/>
            <w:vAlign w:val="center"/>
            <w:hideMark/>
          </w:tcPr>
          <w:p w14:paraId="249CF68C" w14:textId="6F47D200"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21 330</w:t>
            </w:r>
          </w:p>
        </w:tc>
        <w:tc>
          <w:tcPr>
            <w:tcW w:w="1000" w:type="dxa"/>
            <w:shd w:val="clear" w:color="auto" w:fill="auto"/>
            <w:noWrap/>
            <w:vAlign w:val="center"/>
            <w:hideMark/>
          </w:tcPr>
          <w:p w14:paraId="34AB316D" w14:textId="31503766"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2 623 461</w:t>
            </w:r>
          </w:p>
        </w:tc>
        <w:tc>
          <w:tcPr>
            <w:tcW w:w="980" w:type="dxa"/>
            <w:shd w:val="clear" w:color="auto" w:fill="auto"/>
            <w:noWrap/>
            <w:vAlign w:val="center"/>
            <w:hideMark/>
          </w:tcPr>
          <w:p w14:paraId="2693F0E6" w14:textId="6D69FF0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219 492</w:t>
            </w:r>
          </w:p>
        </w:tc>
        <w:tc>
          <w:tcPr>
            <w:tcW w:w="980" w:type="dxa"/>
            <w:shd w:val="clear" w:color="auto" w:fill="auto"/>
            <w:noWrap/>
            <w:vAlign w:val="center"/>
            <w:hideMark/>
          </w:tcPr>
          <w:p w14:paraId="148D7A47" w14:textId="16696126"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-414 651</w:t>
            </w:r>
          </w:p>
        </w:tc>
        <w:tc>
          <w:tcPr>
            <w:tcW w:w="980" w:type="dxa"/>
            <w:shd w:val="clear" w:color="auto" w:fill="auto"/>
            <w:noWrap/>
            <w:vAlign w:val="center"/>
            <w:hideMark/>
          </w:tcPr>
          <w:p w14:paraId="1298BDA7" w14:textId="63C0ABDF"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-1 026 498</w:t>
            </w:r>
          </w:p>
        </w:tc>
        <w:tc>
          <w:tcPr>
            <w:tcW w:w="980" w:type="dxa"/>
            <w:shd w:val="clear" w:color="auto" w:fill="auto"/>
            <w:noWrap/>
            <w:vAlign w:val="center"/>
            <w:hideMark/>
          </w:tcPr>
          <w:p w14:paraId="08B06A91" w14:textId="718E6546"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-1 380 474</w:t>
            </w:r>
          </w:p>
        </w:tc>
      </w:tr>
      <w:tr w:rsidR="000A4BF0" w:rsidRPr="00313F9C" w14:paraId="6076A8AD" w14:textId="77777777" w:rsidTr="00EF1CB7">
        <w:trPr>
          <w:trHeight w:val="240"/>
        </w:trPr>
        <w:tc>
          <w:tcPr>
            <w:tcW w:w="2977" w:type="dxa"/>
            <w:shd w:val="clear" w:color="auto" w:fill="BDD6EE" w:themeFill="accent1" w:themeFillTint="66"/>
            <w:noWrap/>
            <w:vAlign w:val="bottom"/>
            <w:hideMark/>
          </w:tcPr>
          <w:p w14:paraId="385AA91A" w14:textId="77777777" w:rsidR="000A4BF0" w:rsidRPr="005A7D49" w:rsidRDefault="000A4BF0" w:rsidP="000A4BF0">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shd w:val="clear" w:color="auto" w:fill="BDD6EE" w:themeFill="accent1" w:themeFillTint="66"/>
            <w:noWrap/>
            <w:vAlign w:val="center"/>
            <w:hideMark/>
          </w:tcPr>
          <w:p w14:paraId="09161766" w14:textId="7ED01168"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21 330</w:t>
            </w:r>
          </w:p>
        </w:tc>
        <w:tc>
          <w:tcPr>
            <w:tcW w:w="1000" w:type="dxa"/>
            <w:shd w:val="clear" w:color="auto" w:fill="BDD6EE" w:themeFill="accent1" w:themeFillTint="66"/>
            <w:noWrap/>
            <w:vAlign w:val="center"/>
            <w:hideMark/>
          </w:tcPr>
          <w:p w14:paraId="2F8C6C70" w14:textId="0F38C10A"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2 623 461</w:t>
            </w:r>
          </w:p>
        </w:tc>
        <w:tc>
          <w:tcPr>
            <w:tcW w:w="980" w:type="dxa"/>
            <w:shd w:val="clear" w:color="auto" w:fill="BDD6EE" w:themeFill="accent1" w:themeFillTint="66"/>
            <w:noWrap/>
            <w:vAlign w:val="center"/>
            <w:hideMark/>
          </w:tcPr>
          <w:p w14:paraId="3928C9FF" w14:textId="0F5252A9"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219 492</w:t>
            </w:r>
          </w:p>
        </w:tc>
        <w:tc>
          <w:tcPr>
            <w:tcW w:w="980" w:type="dxa"/>
            <w:shd w:val="clear" w:color="auto" w:fill="BDD6EE" w:themeFill="accent1" w:themeFillTint="66"/>
            <w:noWrap/>
            <w:vAlign w:val="center"/>
            <w:hideMark/>
          </w:tcPr>
          <w:p w14:paraId="6CDA1626" w14:textId="6439CF72"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-414 651</w:t>
            </w:r>
          </w:p>
        </w:tc>
        <w:tc>
          <w:tcPr>
            <w:tcW w:w="980" w:type="dxa"/>
            <w:shd w:val="clear" w:color="auto" w:fill="BDD6EE" w:themeFill="accent1" w:themeFillTint="66"/>
            <w:noWrap/>
            <w:vAlign w:val="center"/>
            <w:hideMark/>
          </w:tcPr>
          <w:p w14:paraId="059099D5" w14:textId="18D82F25"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-1 026 498</w:t>
            </w:r>
          </w:p>
        </w:tc>
        <w:tc>
          <w:tcPr>
            <w:tcW w:w="980" w:type="dxa"/>
            <w:shd w:val="clear" w:color="auto" w:fill="BDD6EE" w:themeFill="accent1" w:themeFillTint="66"/>
            <w:noWrap/>
            <w:vAlign w:val="center"/>
            <w:hideMark/>
          </w:tcPr>
          <w:p w14:paraId="176A34C2" w14:textId="3895530B" w:rsidR="000A4BF0" w:rsidRPr="00EF1CB7" w:rsidRDefault="000A4BF0" w:rsidP="000A4BF0">
            <w:pPr>
              <w:spacing w:before="0" w:after="0" w:line="240" w:lineRule="auto"/>
              <w:jc w:val="right"/>
              <w:rPr>
                <w:rFonts w:asciiTheme="minorHAnsi" w:hAnsiTheme="minorHAnsi" w:cstheme="minorHAnsi"/>
                <w:b/>
                <w:bCs/>
                <w:sz w:val="18"/>
                <w:szCs w:val="18"/>
              </w:rPr>
            </w:pPr>
            <w:r>
              <w:rPr>
                <w:rFonts w:cs="Arial"/>
                <w:b/>
                <w:bCs/>
                <w:sz w:val="16"/>
                <w:szCs w:val="16"/>
              </w:rPr>
              <w:t>-1 380 474</w:t>
            </w:r>
          </w:p>
        </w:tc>
      </w:tr>
    </w:tbl>
    <w:p w14:paraId="4331E983" w14:textId="1674738C" w:rsidR="00D7676E" w:rsidRDefault="002302CC" w:rsidP="00D7676E">
      <w:pPr>
        <w:rPr>
          <w:i/>
          <w:sz w:val="16"/>
        </w:rPr>
      </w:pPr>
      <w:r w:rsidRPr="00DA4343">
        <w:rPr>
          <w:i/>
          <w:sz w:val="16"/>
        </w:rPr>
        <w:t xml:space="preserve">Zdroj: Príloha 1, hárok </w:t>
      </w:r>
      <w:r>
        <w:rPr>
          <w:i/>
          <w:sz w:val="16"/>
        </w:rPr>
        <w:t>03</w:t>
      </w:r>
    </w:p>
    <w:p w14:paraId="0C818D8A" w14:textId="77777777" w:rsidR="004C1394" w:rsidRDefault="004C1394" w:rsidP="00D7676E">
      <w:pPr>
        <w:rPr>
          <w:i/>
          <w:sz w:val="16"/>
        </w:rPr>
      </w:pPr>
    </w:p>
    <w:p w14:paraId="29FB538C" w14:textId="04C66808" w:rsidR="004E0519" w:rsidRDefault="004E0519" w:rsidP="004E0519">
      <w:pPr>
        <w:pStyle w:val="Caption"/>
      </w:pPr>
      <w:r>
        <w:lastRenderedPageBreak/>
        <w:t xml:space="preserve">Tab. </w:t>
      </w:r>
      <w:r>
        <w:fldChar w:fldCharType="begin"/>
      </w:r>
      <w:r>
        <w:instrText xml:space="preserve"> SEQ Tab. \* ARABIC </w:instrText>
      </w:r>
      <w:r>
        <w:fldChar w:fldCharType="separate"/>
      </w:r>
      <w:r w:rsidR="00A86720">
        <w:rPr>
          <w:noProof/>
        </w:rPr>
        <w:t>54</w:t>
      </w:r>
      <w:r>
        <w:fldChar w:fldCharType="end"/>
      </w:r>
      <w:r>
        <w:t xml:space="preserve"> – Prevádzkové výdavky, použité fiškálne konverzné faktory</w:t>
      </w:r>
    </w:p>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261"/>
        <w:gridCol w:w="1842"/>
        <w:gridCol w:w="4111"/>
      </w:tblGrid>
      <w:tr w:rsidR="004E0519" w:rsidRPr="00260FF6" w14:paraId="214355D1" w14:textId="77777777" w:rsidTr="004E0519">
        <w:trPr>
          <w:trHeight w:val="225"/>
        </w:trPr>
        <w:tc>
          <w:tcPr>
            <w:tcW w:w="5103" w:type="dxa"/>
            <w:gridSpan w:val="2"/>
            <w:vMerge w:val="restart"/>
            <w:shd w:val="clear" w:color="auto" w:fill="BDD6EE" w:themeFill="accent1" w:themeFillTint="66"/>
            <w:noWrap/>
            <w:vAlign w:val="center"/>
          </w:tcPr>
          <w:p w14:paraId="29C0E6DF" w14:textId="77777777" w:rsidR="004E0519" w:rsidRPr="00260FF6" w:rsidRDefault="004E0519"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Fiškálne konverzné faktory</w:t>
            </w:r>
          </w:p>
        </w:tc>
        <w:tc>
          <w:tcPr>
            <w:tcW w:w="4111" w:type="dxa"/>
            <w:shd w:val="clear" w:color="auto" w:fill="BDD6EE" w:themeFill="accent1" w:themeFillTint="66"/>
            <w:vAlign w:val="center"/>
          </w:tcPr>
          <w:p w14:paraId="53BCDADF" w14:textId="77777777" w:rsidR="004E0519" w:rsidRPr="00260FF6" w:rsidRDefault="004E0519"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Rozdelenie nákladov na výrobné faktory</w:t>
            </w:r>
          </w:p>
        </w:tc>
      </w:tr>
      <w:tr w:rsidR="004E0519" w:rsidRPr="00260FF6" w14:paraId="4BA361C9" w14:textId="77777777" w:rsidTr="004E0519">
        <w:trPr>
          <w:trHeight w:val="225"/>
        </w:trPr>
        <w:tc>
          <w:tcPr>
            <w:tcW w:w="5103" w:type="dxa"/>
            <w:gridSpan w:val="2"/>
            <w:vMerge/>
            <w:shd w:val="clear" w:color="auto" w:fill="BDD6EE" w:themeFill="accent1" w:themeFillTint="66"/>
            <w:noWrap/>
            <w:vAlign w:val="center"/>
          </w:tcPr>
          <w:p w14:paraId="2F3FE5BB" w14:textId="77777777" w:rsidR="004E0519" w:rsidRPr="00260FF6" w:rsidRDefault="004E0519" w:rsidP="00CB5E2B">
            <w:pPr>
              <w:spacing w:before="0" w:after="0" w:line="240" w:lineRule="auto"/>
              <w:jc w:val="center"/>
              <w:rPr>
                <w:rFonts w:asciiTheme="minorHAnsi" w:hAnsiTheme="minorHAnsi" w:cs="Arial"/>
                <w:sz w:val="18"/>
                <w:szCs w:val="18"/>
              </w:rPr>
            </w:pPr>
          </w:p>
        </w:tc>
        <w:tc>
          <w:tcPr>
            <w:tcW w:w="4111" w:type="dxa"/>
            <w:shd w:val="clear" w:color="auto" w:fill="BDD6EE" w:themeFill="accent1" w:themeFillTint="66"/>
            <w:vAlign w:val="center"/>
          </w:tcPr>
          <w:p w14:paraId="415CF041" w14:textId="655894F7" w:rsidR="004E0519" w:rsidRPr="00260FF6" w:rsidRDefault="004E0519" w:rsidP="00CB5E2B">
            <w:pPr>
              <w:spacing w:before="0" w:after="0" w:line="240" w:lineRule="auto"/>
              <w:jc w:val="center"/>
              <w:rPr>
                <w:rFonts w:asciiTheme="minorHAnsi" w:hAnsiTheme="minorHAnsi" w:cs="Arial"/>
                <w:sz w:val="18"/>
                <w:szCs w:val="18"/>
              </w:rPr>
            </w:pPr>
            <w:r>
              <w:rPr>
                <w:rFonts w:asciiTheme="minorHAnsi" w:hAnsiTheme="minorHAnsi" w:cs="Arial"/>
                <w:sz w:val="18"/>
                <w:szCs w:val="18"/>
              </w:rPr>
              <w:t>Prevádzka mýta</w:t>
            </w:r>
          </w:p>
        </w:tc>
      </w:tr>
      <w:tr w:rsidR="004E0519" w:rsidRPr="00260FF6" w14:paraId="472C7F05" w14:textId="77777777" w:rsidTr="004E0519">
        <w:trPr>
          <w:trHeight w:val="225"/>
        </w:trPr>
        <w:tc>
          <w:tcPr>
            <w:tcW w:w="3261" w:type="dxa"/>
            <w:shd w:val="clear" w:color="auto" w:fill="DEEAF6" w:themeFill="accent1" w:themeFillTint="33"/>
            <w:noWrap/>
            <w:vAlign w:val="center"/>
            <w:hideMark/>
          </w:tcPr>
          <w:p w14:paraId="55EB4777" w14:textId="77777777" w:rsidR="004E0519" w:rsidRPr="00AD32AA" w:rsidRDefault="004E0519" w:rsidP="00CB5E2B">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Personálne výdavky</w:t>
            </w:r>
          </w:p>
        </w:tc>
        <w:tc>
          <w:tcPr>
            <w:tcW w:w="1842" w:type="dxa"/>
            <w:shd w:val="clear" w:color="auto" w:fill="auto"/>
            <w:noWrap/>
            <w:vAlign w:val="center"/>
            <w:hideMark/>
          </w:tcPr>
          <w:p w14:paraId="3E218C34" w14:textId="77777777" w:rsidR="004E0519" w:rsidRPr="00AD32AA" w:rsidRDefault="004E0519" w:rsidP="00CB5E2B">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0,9</w:t>
            </w:r>
          </w:p>
        </w:tc>
        <w:tc>
          <w:tcPr>
            <w:tcW w:w="4111" w:type="dxa"/>
            <w:vAlign w:val="center"/>
          </w:tcPr>
          <w:p w14:paraId="280C76EA" w14:textId="6BCB8AC7" w:rsidR="004E0519" w:rsidRPr="00260FF6" w:rsidRDefault="004E0519" w:rsidP="00CB5E2B">
            <w:pPr>
              <w:spacing w:before="0" w:after="0" w:line="240" w:lineRule="auto"/>
              <w:jc w:val="center"/>
              <w:rPr>
                <w:rFonts w:asciiTheme="minorHAnsi" w:hAnsiTheme="minorHAnsi" w:cs="Arial"/>
                <w:sz w:val="18"/>
                <w:szCs w:val="18"/>
              </w:rPr>
            </w:pPr>
            <w:r>
              <w:rPr>
                <w:rFonts w:asciiTheme="minorHAnsi" w:hAnsiTheme="minorHAnsi" w:cs="Arial"/>
                <w:sz w:val="18"/>
                <w:szCs w:val="18"/>
              </w:rPr>
              <w:t>4</w:t>
            </w:r>
            <w:r w:rsidRPr="00260FF6">
              <w:rPr>
                <w:rFonts w:asciiTheme="minorHAnsi" w:hAnsiTheme="minorHAnsi" w:cs="Arial"/>
                <w:sz w:val="18"/>
                <w:szCs w:val="18"/>
              </w:rPr>
              <w:t>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4E0519" w:rsidRPr="00260FF6" w14:paraId="5EC6E3D7" w14:textId="77777777" w:rsidTr="004E0519">
        <w:trPr>
          <w:trHeight w:val="225"/>
        </w:trPr>
        <w:tc>
          <w:tcPr>
            <w:tcW w:w="3261" w:type="dxa"/>
            <w:shd w:val="clear" w:color="auto" w:fill="DEEAF6" w:themeFill="accent1" w:themeFillTint="33"/>
            <w:noWrap/>
            <w:vAlign w:val="center"/>
            <w:hideMark/>
          </w:tcPr>
          <w:p w14:paraId="1111CCB2" w14:textId="77777777" w:rsidR="004E0519" w:rsidRPr="00AD32AA" w:rsidRDefault="004E0519" w:rsidP="00CB5E2B">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Pohonné hmoty</w:t>
            </w:r>
          </w:p>
        </w:tc>
        <w:tc>
          <w:tcPr>
            <w:tcW w:w="1842" w:type="dxa"/>
            <w:shd w:val="clear" w:color="auto" w:fill="auto"/>
            <w:noWrap/>
            <w:vAlign w:val="center"/>
            <w:hideMark/>
          </w:tcPr>
          <w:p w14:paraId="72E67A7D" w14:textId="77777777" w:rsidR="004E0519" w:rsidRPr="00AD32AA" w:rsidRDefault="004E0519" w:rsidP="00CB5E2B">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0,5</w:t>
            </w:r>
          </w:p>
        </w:tc>
        <w:tc>
          <w:tcPr>
            <w:tcW w:w="4111" w:type="dxa"/>
            <w:vAlign w:val="center"/>
          </w:tcPr>
          <w:p w14:paraId="0EF60599" w14:textId="5CB3FA6F" w:rsidR="004E0519" w:rsidRPr="00260FF6" w:rsidRDefault="004E0519" w:rsidP="00CB5E2B">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15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4E0519" w:rsidRPr="00260FF6" w14:paraId="16457784" w14:textId="77777777" w:rsidTr="004E0519">
        <w:trPr>
          <w:trHeight w:val="225"/>
        </w:trPr>
        <w:tc>
          <w:tcPr>
            <w:tcW w:w="3261" w:type="dxa"/>
            <w:shd w:val="clear" w:color="auto" w:fill="DEEAF6" w:themeFill="accent1" w:themeFillTint="33"/>
            <w:noWrap/>
            <w:vAlign w:val="center"/>
            <w:hideMark/>
          </w:tcPr>
          <w:p w14:paraId="0F1FA1F9" w14:textId="77777777" w:rsidR="004E0519" w:rsidRPr="00AD32AA" w:rsidRDefault="004E0519" w:rsidP="00CB5E2B">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Materiál a osta</w:t>
            </w:r>
            <w:r>
              <w:rPr>
                <w:rFonts w:asciiTheme="minorHAnsi" w:hAnsiTheme="minorHAnsi" w:cs="Arial"/>
                <w:sz w:val="18"/>
                <w:szCs w:val="18"/>
              </w:rPr>
              <w:t>t</w:t>
            </w:r>
            <w:r w:rsidRPr="00AD32AA">
              <w:rPr>
                <w:rFonts w:asciiTheme="minorHAnsi" w:hAnsiTheme="minorHAnsi" w:cs="Arial"/>
                <w:sz w:val="18"/>
                <w:szCs w:val="18"/>
              </w:rPr>
              <w:t>né zdroje</w:t>
            </w:r>
          </w:p>
        </w:tc>
        <w:tc>
          <w:tcPr>
            <w:tcW w:w="1842" w:type="dxa"/>
            <w:shd w:val="clear" w:color="auto" w:fill="auto"/>
            <w:noWrap/>
            <w:vAlign w:val="center"/>
            <w:hideMark/>
          </w:tcPr>
          <w:p w14:paraId="4B959264" w14:textId="77777777" w:rsidR="004E0519" w:rsidRPr="00AD32AA" w:rsidRDefault="004E0519" w:rsidP="00CB5E2B">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1,0</w:t>
            </w:r>
          </w:p>
        </w:tc>
        <w:tc>
          <w:tcPr>
            <w:tcW w:w="4111" w:type="dxa"/>
            <w:vAlign w:val="center"/>
          </w:tcPr>
          <w:p w14:paraId="441DE45D" w14:textId="66377AEC" w:rsidR="004E0519" w:rsidRPr="00260FF6" w:rsidRDefault="004E0519" w:rsidP="00CB5E2B">
            <w:pPr>
              <w:spacing w:before="0" w:after="0" w:line="240" w:lineRule="auto"/>
              <w:jc w:val="center"/>
              <w:rPr>
                <w:rFonts w:asciiTheme="minorHAnsi" w:hAnsiTheme="minorHAnsi" w:cs="Arial"/>
                <w:sz w:val="18"/>
                <w:szCs w:val="18"/>
              </w:rPr>
            </w:pPr>
            <w:r>
              <w:rPr>
                <w:rFonts w:asciiTheme="minorHAnsi" w:hAnsiTheme="minorHAnsi" w:cs="Arial"/>
                <w:sz w:val="18"/>
                <w:szCs w:val="18"/>
              </w:rPr>
              <w:t>4</w:t>
            </w:r>
            <w:r w:rsidRPr="00260FF6">
              <w:rPr>
                <w:rFonts w:asciiTheme="minorHAnsi" w:hAnsiTheme="minorHAnsi" w:cs="Arial"/>
                <w:sz w:val="18"/>
                <w:szCs w:val="18"/>
              </w:rPr>
              <w:t>0</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bl>
    <w:p w14:paraId="5CE12B05" w14:textId="7216CA00" w:rsidR="002302CC" w:rsidRDefault="002302CC" w:rsidP="002302CC">
      <w:pPr>
        <w:rPr>
          <w:i/>
          <w:sz w:val="16"/>
        </w:rPr>
      </w:pPr>
      <w:r w:rsidRPr="00DA4343">
        <w:rPr>
          <w:i/>
          <w:sz w:val="16"/>
        </w:rPr>
        <w:t xml:space="preserve">Zdroj: Príloha 1, hárok </w:t>
      </w:r>
      <w:r>
        <w:rPr>
          <w:i/>
          <w:sz w:val="16"/>
        </w:rPr>
        <w:t>‚Parametre‘</w:t>
      </w:r>
    </w:p>
    <w:p w14:paraId="6F5048E0" w14:textId="77777777" w:rsidR="000A4BF0" w:rsidRDefault="000A4BF0" w:rsidP="002302CC">
      <w:pPr>
        <w:rPr>
          <w:i/>
          <w:sz w:val="16"/>
        </w:rPr>
      </w:pPr>
    </w:p>
    <w:p w14:paraId="267F01A8" w14:textId="77777777" w:rsidR="004E0519" w:rsidRDefault="004E0519" w:rsidP="00A40297">
      <w:pPr>
        <w:pStyle w:val="Heading3"/>
      </w:pPr>
      <w:bookmarkStart w:id="169" w:name="_Toc33006420"/>
      <w:bookmarkStart w:id="170" w:name="_Toc87348762"/>
      <w:r>
        <w:t>Prevádzkové príjmy – inkrementálne</w:t>
      </w:r>
      <w:bookmarkEnd w:id="169"/>
      <w:bookmarkEnd w:id="170"/>
      <w:r>
        <w:t xml:space="preserve"> </w:t>
      </w:r>
    </w:p>
    <w:p w14:paraId="716F5FBF" w14:textId="38B741EE" w:rsidR="004E0519" w:rsidRDefault="004E0519" w:rsidP="004E0519">
      <w:r>
        <w:t xml:space="preserve">Inkrementálne prevádzkové príjmy sú stanovené ako rozdiel príjmov variantu </w:t>
      </w:r>
      <w:r w:rsidR="00DD56D5">
        <w:t xml:space="preserve">1 </w:t>
      </w:r>
      <w:r>
        <w:t>a príjmov nulového variantu.</w:t>
      </w:r>
    </w:p>
    <w:p w14:paraId="3EE74A0C" w14:textId="0E631DA3" w:rsidR="00035E7F" w:rsidRDefault="00035E7F" w:rsidP="00035E7F">
      <w:pPr>
        <w:pStyle w:val="Caption"/>
      </w:pPr>
      <w:r>
        <w:t xml:space="preserve">Tab. </w:t>
      </w:r>
      <w:r>
        <w:fldChar w:fldCharType="begin"/>
      </w:r>
      <w:r>
        <w:instrText xml:space="preserve"> SEQ Tab. \* ARABIC </w:instrText>
      </w:r>
      <w:r>
        <w:fldChar w:fldCharType="separate"/>
      </w:r>
      <w:r w:rsidR="00A86720">
        <w:rPr>
          <w:noProof/>
        </w:rPr>
        <w:t>55</w:t>
      </w:r>
      <w:r>
        <w:fldChar w:fldCharType="end"/>
      </w:r>
      <w:r>
        <w:t xml:space="preserve"> - Prevádzkové príjmy, inkrementálne</w:t>
      </w:r>
    </w:p>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2977"/>
        <w:gridCol w:w="1039"/>
        <w:gridCol w:w="1040"/>
        <w:gridCol w:w="1039"/>
        <w:gridCol w:w="1040"/>
        <w:gridCol w:w="1039"/>
        <w:gridCol w:w="1040"/>
      </w:tblGrid>
      <w:tr w:rsidR="004E0519" w:rsidRPr="004E0519" w14:paraId="222304A3" w14:textId="77777777" w:rsidTr="00447F44">
        <w:trPr>
          <w:trHeight w:val="225"/>
        </w:trPr>
        <w:tc>
          <w:tcPr>
            <w:tcW w:w="2977" w:type="dxa"/>
            <w:shd w:val="clear" w:color="auto" w:fill="BDD6EE" w:themeFill="accent1" w:themeFillTint="66"/>
            <w:noWrap/>
            <w:vAlign w:val="bottom"/>
            <w:hideMark/>
          </w:tcPr>
          <w:p w14:paraId="14BC33D5" w14:textId="34015335" w:rsidR="004E0519" w:rsidRPr="004E0519" w:rsidRDefault="004E0519" w:rsidP="004E0519">
            <w:pPr>
              <w:spacing w:before="0" w:after="0" w:line="240" w:lineRule="auto"/>
              <w:jc w:val="left"/>
              <w:rPr>
                <w:rFonts w:asciiTheme="minorHAnsi" w:hAnsiTheme="minorHAnsi" w:cs="Arial"/>
                <w:b/>
                <w:bCs/>
                <w:sz w:val="18"/>
                <w:szCs w:val="16"/>
              </w:rPr>
            </w:pPr>
            <w:r w:rsidRPr="004E0519">
              <w:rPr>
                <w:rFonts w:asciiTheme="minorHAnsi" w:hAnsiTheme="minorHAnsi" w:cs="Arial"/>
                <w:b/>
                <w:bCs/>
                <w:sz w:val="18"/>
                <w:szCs w:val="16"/>
              </w:rPr>
              <w:t> </w:t>
            </w:r>
            <w:r w:rsidR="00447F44" w:rsidRPr="00447F44">
              <w:rPr>
                <w:rFonts w:asciiTheme="minorHAnsi" w:hAnsiTheme="minorHAnsi" w:cs="Arial"/>
                <w:b/>
                <w:bCs/>
                <w:sz w:val="18"/>
                <w:szCs w:val="16"/>
              </w:rPr>
              <w:t>4.3 INKREMENTÁLNE príjmy</w:t>
            </w:r>
          </w:p>
        </w:tc>
        <w:tc>
          <w:tcPr>
            <w:tcW w:w="1039" w:type="dxa"/>
            <w:shd w:val="clear" w:color="auto" w:fill="BDD6EE" w:themeFill="accent1" w:themeFillTint="66"/>
            <w:noWrap/>
            <w:vAlign w:val="center"/>
            <w:hideMark/>
          </w:tcPr>
          <w:p w14:paraId="131D2303" w14:textId="77777777" w:rsidR="004E0519" w:rsidRPr="004E0519" w:rsidRDefault="004E0519" w:rsidP="00447F44">
            <w:pPr>
              <w:spacing w:before="0" w:after="0" w:line="240" w:lineRule="auto"/>
              <w:jc w:val="center"/>
              <w:rPr>
                <w:rFonts w:asciiTheme="minorHAnsi" w:hAnsiTheme="minorHAnsi" w:cs="Arial"/>
                <w:bCs/>
                <w:sz w:val="18"/>
                <w:szCs w:val="16"/>
              </w:rPr>
            </w:pPr>
            <w:r w:rsidRPr="004E0519">
              <w:rPr>
                <w:rFonts w:asciiTheme="minorHAnsi" w:hAnsiTheme="minorHAnsi" w:cs="Arial"/>
                <w:bCs/>
                <w:sz w:val="18"/>
                <w:szCs w:val="16"/>
              </w:rPr>
              <w:t>Celkom</w:t>
            </w:r>
          </w:p>
        </w:tc>
        <w:tc>
          <w:tcPr>
            <w:tcW w:w="1040" w:type="dxa"/>
            <w:shd w:val="clear" w:color="auto" w:fill="BDD6EE" w:themeFill="accent1" w:themeFillTint="66"/>
            <w:noWrap/>
            <w:vAlign w:val="center"/>
            <w:hideMark/>
          </w:tcPr>
          <w:p w14:paraId="5FD4D925" w14:textId="77777777" w:rsidR="004E0519" w:rsidRPr="004E0519" w:rsidRDefault="004E0519" w:rsidP="00447F44">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2022</w:t>
            </w:r>
          </w:p>
        </w:tc>
        <w:tc>
          <w:tcPr>
            <w:tcW w:w="1039" w:type="dxa"/>
            <w:shd w:val="clear" w:color="auto" w:fill="BDD6EE" w:themeFill="accent1" w:themeFillTint="66"/>
            <w:noWrap/>
            <w:vAlign w:val="center"/>
            <w:hideMark/>
          </w:tcPr>
          <w:p w14:paraId="039B3CFB" w14:textId="77777777" w:rsidR="004E0519" w:rsidRPr="004E0519" w:rsidRDefault="004E0519" w:rsidP="00447F44">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2023</w:t>
            </w:r>
          </w:p>
        </w:tc>
        <w:tc>
          <w:tcPr>
            <w:tcW w:w="1040" w:type="dxa"/>
            <w:shd w:val="clear" w:color="auto" w:fill="BDD6EE" w:themeFill="accent1" w:themeFillTint="66"/>
            <w:noWrap/>
            <w:vAlign w:val="center"/>
            <w:hideMark/>
          </w:tcPr>
          <w:p w14:paraId="757F292B" w14:textId="77777777" w:rsidR="004E0519" w:rsidRPr="004E0519" w:rsidRDefault="004E0519" w:rsidP="00447F44">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2024</w:t>
            </w:r>
          </w:p>
        </w:tc>
        <w:tc>
          <w:tcPr>
            <w:tcW w:w="1039" w:type="dxa"/>
            <w:shd w:val="clear" w:color="auto" w:fill="BDD6EE" w:themeFill="accent1" w:themeFillTint="66"/>
            <w:noWrap/>
            <w:vAlign w:val="center"/>
            <w:hideMark/>
          </w:tcPr>
          <w:p w14:paraId="2A5B5B78" w14:textId="77777777" w:rsidR="004E0519" w:rsidRPr="004E0519" w:rsidRDefault="004E0519" w:rsidP="00447F44">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2025</w:t>
            </w:r>
          </w:p>
        </w:tc>
        <w:tc>
          <w:tcPr>
            <w:tcW w:w="1040" w:type="dxa"/>
            <w:shd w:val="clear" w:color="auto" w:fill="BDD6EE" w:themeFill="accent1" w:themeFillTint="66"/>
            <w:noWrap/>
            <w:vAlign w:val="center"/>
            <w:hideMark/>
          </w:tcPr>
          <w:p w14:paraId="0DD0E662" w14:textId="77777777" w:rsidR="004E0519" w:rsidRPr="004E0519" w:rsidRDefault="004E0519" w:rsidP="00447F44">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2026</w:t>
            </w:r>
          </w:p>
        </w:tc>
      </w:tr>
      <w:tr w:rsidR="004E0519" w:rsidRPr="004E0519" w14:paraId="74178B3C" w14:textId="77777777" w:rsidTr="00447F44">
        <w:trPr>
          <w:trHeight w:val="225"/>
        </w:trPr>
        <w:tc>
          <w:tcPr>
            <w:tcW w:w="2977" w:type="dxa"/>
            <w:shd w:val="clear" w:color="auto" w:fill="DEEAF6" w:themeFill="accent1" w:themeFillTint="33"/>
            <w:noWrap/>
            <w:vAlign w:val="bottom"/>
            <w:hideMark/>
          </w:tcPr>
          <w:p w14:paraId="34759C2F" w14:textId="77777777" w:rsidR="004E0519" w:rsidRPr="004E0519" w:rsidRDefault="004E0519" w:rsidP="004E0519">
            <w:pPr>
              <w:spacing w:before="0" w:after="0" w:line="240" w:lineRule="auto"/>
              <w:jc w:val="left"/>
              <w:rPr>
                <w:rFonts w:asciiTheme="minorHAnsi" w:hAnsiTheme="minorHAnsi" w:cs="Arial"/>
                <w:sz w:val="18"/>
                <w:szCs w:val="16"/>
              </w:rPr>
            </w:pPr>
            <w:r w:rsidRPr="004E0519">
              <w:rPr>
                <w:rFonts w:asciiTheme="minorHAnsi" w:hAnsiTheme="minorHAnsi" w:cs="Arial"/>
                <w:sz w:val="18"/>
                <w:szCs w:val="16"/>
              </w:rPr>
              <w:t>Príjmy z mýta</w:t>
            </w:r>
          </w:p>
        </w:tc>
        <w:tc>
          <w:tcPr>
            <w:tcW w:w="1039" w:type="dxa"/>
            <w:shd w:val="clear" w:color="auto" w:fill="auto"/>
            <w:noWrap/>
            <w:vAlign w:val="bottom"/>
            <w:hideMark/>
          </w:tcPr>
          <w:p w14:paraId="1EF58F0B"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4D7D55EA"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5C55BF55"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609A0B1A"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10A8BB84"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342E6CFA"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r>
      <w:tr w:rsidR="004E0519" w:rsidRPr="004E0519" w14:paraId="66BB3371" w14:textId="77777777" w:rsidTr="00447F44">
        <w:trPr>
          <w:trHeight w:val="225"/>
        </w:trPr>
        <w:tc>
          <w:tcPr>
            <w:tcW w:w="2977" w:type="dxa"/>
            <w:shd w:val="clear" w:color="auto" w:fill="DEEAF6" w:themeFill="accent1" w:themeFillTint="33"/>
            <w:noWrap/>
            <w:vAlign w:val="bottom"/>
            <w:hideMark/>
          </w:tcPr>
          <w:p w14:paraId="46456386" w14:textId="77777777" w:rsidR="004E0519" w:rsidRPr="004E0519" w:rsidRDefault="004E0519" w:rsidP="004E0519">
            <w:pPr>
              <w:spacing w:before="0" w:after="0" w:line="240" w:lineRule="auto"/>
              <w:jc w:val="left"/>
              <w:rPr>
                <w:rFonts w:asciiTheme="minorHAnsi" w:hAnsiTheme="minorHAnsi" w:cs="Arial"/>
                <w:sz w:val="18"/>
                <w:szCs w:val="16"/>
              </w:rPr>
            </w:pPr>
            <w:r w:rsidRPr="004E0519">
              <w:rPr>
                <w:rFonts w:asciiTheme="minorHAnsi" w:hAnsiTheme="minorHAnsi" w:cs="Arial"/>
                <w:sz w:val="18"/>
                <w:szCs w:val="16"/>
              </w:rPr>
              <w:t>Iné príjmy</w:t>
            </w:r>
          </w:p>
        </w:tc>
        <w:tc>
          <w:tcPr>
            <w:tcW w:w="1039" w:type="dxa"/>
            <w:shd w:val="clear" w:color="auto" w:fill="auto"/>
            <w:noWrap/>
            <w:vAlign w:val="bottom"/>
            <w:hideMark/>
          </w:tcPr>
          <w:p w14:paraId="6F07E6B7"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1D2AEEEC"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131C91B4"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4A0E622F"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24D97CF8"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469BEC0B" w14:textId="77777777" w:rsidR="004E0519" w:rsidRPr="004E0519" w:rsidRDefault="004E0519" w:rsidP="004E051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r>
      <w:tr w:rsidR="00447F44" w:rsidRPr="004E0519" w14:paraId="13096CA8" w14:textId="77777777" w:rsidTr="00447F44">
        <w:trPr>
          <w:trHeight w:val="225"/>
        </w:trPr>
        <w:tc>
          <w:tcPr>
            <w:tcW w:w="2977" w:type="dxa"/>
            <w:shd w:val="clear" w:color="auto" w:fill="BDD6EE" w:themeFill="accent1" w:themeFillTint="66"/>
            <w:noWrap/>
            <w:vAlign w:val="bottom"/>
            <w:hideMark/>
          </w:tcPr>
          <w:p w14:paraId="36B160E6" w14:textId="77777777" w:rsidR="004E0519" w:rsidRPr="004E0519" w:rsidRDefault="004E0519" w:rsidP="004E0519">
            <w:pPr>
              <w:spacing w:before="0" w:after="0" w:line="240" w:lineRule="auto"/>
              <w:jc w:val="left"/>
              <w:rPr>
                <w:rFonts w:asciiTheme="minorHAnsi" w:hAnsiTheme="minorHAnsi" w:cs="Arial"/>
                <w:b/>
                <w:bCs/>
                <w:sz w:val="18"/>
                <w:szCs w:val="16"/>
              </w:rPr>
            </w:pPr>
            <w:r w:rsidRPr="004E0519">
              <w:rPr>
                <w:rFonts w:asciiTheme="minorHAnsi" w:hAnsiTheme="minorHAnsi" w:cs="Arial"/>
                <w:b/>
                <w:bCs/>
                <w:sz w:val="18"/>
                <w:szCs w:val="16"/>
              </w:rPr>
              <w:t>Celkové príjmy</w:t>
            </w:r>
          </w:p>
        </w:tc>
        <w:tc>
          <w:tcPr>
            <w:tcW w:w="1039" w:type="dxa"/>
            <w:shd w:val="clear" w:color="auto" w:fill="BDD6EE" w:themeFill="accent1" w:themeFillTint="66"/>
            <w:noWrap/>
            <w:vAlign w:val="bottom"/>
            <w:hideMark/>
          </w:tcPr>
          <w:p w14:paraId="4DDF3224" w14:textId="77777777" w:rsidR="004E0519" w:rsidRPr="004E0519" w:rsidRDefault="004E0519" w:rsidP="004E051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40" w:type="dxa"/>
            <w:shd w:val="clear" w:color="auto" w:fill="BDD6EE" w:themeFill="accent1" w:themeFillTint="66"/>
            <w:noWrap/>
            <w:vAlign w:val="bottom"/>
            <w:hideMark/>
          </w:tcPr>
          <w:p w14:paraId="06938013" w14:textId="77777777" w:rsidR="004E0519" w:rsidRPr="004E0519" w:rsidRDefault="004E0519" w:rsidP="004E051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39" w:type="dxa"/>
            <w:shd w:val="clear" w:color="auto" w:fill="BDD6EE" w:themeFill="accent1" w:themeFillTint="66"/>
            <w:noWrap/>
            <w:vAlign w:val="bottom"/>
            <w:hideMark/>
          </w:tcPr>
          <w:p w14:paraId="63A50914" w14:textId="77777777" w:rsidR="004E0519" w:rsidRPr="004E0519" w:rsidRDefault="004E0519" w:rsidP="004E051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40" w:type="dxa"/>
            <w:shd w:val="clear" w:color="auto" w:fill="BDD6EE" w:themeFill="accent1" w:themeFillTint="66"/>
            <w:noWrap/>
            <w:vAlign w:val="bottom"/>
            <w:hideMark/>
          </w:tcPr>
          <w:p w14:paraId="4D5A3C9A" w14:textId="77777777" w:rsidR="004E0519" w:rsidRPr="004E0519" w:rsidRDefault="004E0519" w:rsidP="004E051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39" w:type="dxa"/>
            <w:shd w:val="clear" w:color="auto" w:fill="BDD6EE" w:themeFill="accent1" w:themeFillTint="66"/>
            <w:noWrap/>
            <w:vAlign w:val="bottom"/>
            <w:hideMark/>
          </w:tcPr>
          <w:p w14:paraId="19D3AED9" w14:textId="77777777" w:rsidR="004E0519" w:rsidRPr="004E0519" w:rsidRDefault="004E0519" w:rsidP="004E051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40" w:type="dxa"/>
            <w:shd w:val="clear" w:color="auto" w:fill="BDD6EE" w:themeFill="accent1" w:themeFillTint="66"/>
            <w:noWrap/>
            <w:vAlign w:val="bottom"/>
            <w:hideMark/>
          </w:tcPr>
          <w:p w14:paraId="68E77892" w14:textId="77777777" w:rsidR="004E0519" w:rsidRPr="004E0519" w:rsidRDefault="004E0519" w:rsidP="004E051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r>
    </w:tbl>
    <w:p w14:paraId="09968E78" w14:textId="5F038ED6" w:rsidR="002302CC" w:rsidRDefault="002302CC" w:rsidP="002302CC">
      <w:pPr>
        <w:rPr>
          <w:i/>
          <w:sz w:val="16"/>
        </w:rPr>
      </w:pPr>
      <w:r w:rsidRPr="00DA4343">
        <w:rPr>
          <w:i/>
          <w:sz w:val="16"/>
        </w:rPr>
        <w:t xml:space="preserve">Zdroj: Príloha 1, hárok </w:t>
      </w:r>
      <w:r>
        <w:rPr>
          <w:i/>
          <w:sz w:val="16"/>
        </w:rPr>
        <w:t>04</w:t>
      </w:r>
    </w:p>
    <w:p w14:paraId="44FABA75" w14:textId="77777777" w:rsidR="004C1394" w:rsidRDefault="004C1394" w:rsidP="004E0519"/>
    <w:p w14:paraId="429FAA65" w14:textId="107F8523" w:rsidR="00447F44" w:rsidRDefault="00447F44" w:rsidP="004E0519">
      <w:r>
        <w:t xml:space="preserve">Projekt je z pohľadu prevádzkových príjmov neutrálny – výber mýta sa zavedením EETS nezníži ani nezvýši, a tak inkrementálne príjmy sú rovné nule. </w:t>
      </w:r>
    </w:p>
    <w:p w14:paraId="072341B2" w14:textId="77777777" w:rsidR="004C1394" w:rsidRDefault="004C1394" w:rsidP="004E0519"/>
    <w:p w14:paraId="3892183D" w14:textId="77777777" w:rsidR="00F6764A" w:rsidRDefault="00F6764A" w:rsidP="00F6764A">
      <w:pPr>
        <w:pStyle w:val="Heading3"/>
      </w:pPr>
      <w:bookmarkStart w:id="171" w:name="_Toc87283281"/>
      <w:bookmarkStart w:id="172" w:name="_Toc87348763"/>
      <w:r>
        <w:t>Prínosy pre používateľov</w:t>
      </w:r>
      <w:bookmarkEnd w:id="171"/>
      <w:bookmarkEnd w:id="172"/>
    </w:p>
    <w:p w14:paraId="57B8BE51" w14:textId="77777777" w:rsidR="00F6764A" w:rsidRDefault="00F6764A" w:rsidP="00F6764A">
      <w:r>
        <w:t>Prínosom EETS pre používateľov je zníženie administratívnej náročnosti, vyjadrené najlepšie úsporou cestovného času vodiča a vozidla. Vozidlá vybavené interoperabilnou palubnou jednotkou prichádzajúce zo zahraničia nepotrebujú zastaviť na hraničnom priechode zo Slovenskou republikou, zaregistrovať vozidlo, vyzdvihnúť si inštalovať palubnú jednotku a/alebo uhradiť predplatené mýto. Na základe štatistiky ročného počtu operácií s palubnou jednotkou a počtu platobných operácií realizovaných na hraničných priechodoch bol spracovaný kvalifikovaný odhad úspory času. Operácia spojená s registráciou vozidla a inštaláciou palubnej jednotky bola zaťažená trvaním 15 minút (0,25 hod), finančné operácie trvaním 3 minúty (0,05 hod), podrobnosti viď Príloha 1, hárok 13 „Vstupné dáta“, sekcia „Ocenenie času používateľov“. Na výsledný odhad úspory času bolo aplikované pravidlo polovice. Úspora času pre vozidlá s hmotnosťou 3,5 t a menej nie je pre výber mýta relevantná.</w:t>
      </w:r>
    </w:p>
    <w:p w14:paraId="656A0151" w14:textId="77777777" w:rsidR="00F6764A" w:rsidRDefault="00F6764A" w:rsidP="00F6764A">
      <w:pPr>
        <w:pStyle w:val="Caption"/>
      </w:pPr>
      <w:r>
        <w:t xml:space="preserve">Tab. </w:t>
      </w:r>
      <w:r>
        <w:fldChar w:fldCharType="begin"/>
      </w:r>
      <w:r>
        <w:instrText xml:space="preserve"> SEQ Tab. \* ARABIC </w:instrText>
      </w:r>
      <w:r>
        <w:fldChar w:fldCharType="separate"/>
      </w:r>
      <w:r>
        <w:rPr>
          <w:noProof/>
        </w:rPr>
        <w:t>71</w:t>
      </w:r>
      <w:r>
        <w:fldChar w:fldCharType="end"/>
      </w:r>
      <w:r>
        <w:t xml:space="preserve"> - Úspora času nákladného vozidla</w:t>
      </w:r>
    </w:p>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2263"/>
        <w:gridCol w:w="1276"/>
        <w:gridCol w:w="1134"/>
        <w:gridCol w:w="1134"/>
        <w:gridCol w:w="1134"/>
        <w:gridCol w:w="1134"/>
        <w:gridCol w:w="1134"/>
      </w:tblGrid>
      <w:tr w:rsidR="00F6764A" w:rsidRPr="0083643B" w14:paraId="0DACDB73" w14:textId="77777777" w:rsidTr="00F6764A">
        <w:trPr>
          <w:trHeight w:val="450"/>
        </w:trPr>
        <w:tc>
          <w:tcPr>
            <w:tcW w:w="2263" w:type="dxa"/>
            <w:shd w:val="clear" w:color="auto" w:fill="BDD6EE" w:themeFill="accent1" w:themeFillTint="66"/>
            <w:noWrap/>
            <w:vAlign w:val="center"/>
            <w:hideMark/>
          </w:tcPr>
          <w:p w14:paraId="2EC15CBD" w14:textId="77777777" w:rsidR="00F6764A" w:rsidRPr="002B079F" w:rsidRDefault="00F6764A" w:rsidP="00F6764A">
            <w:pPr>
              <w:spacing w:before="0" w:after="0" w:line="240" w:lineRule="auto"/>
              <w:jc w:val="left"/>
              <w:rPr>
                <w:rFonts w:asciiTheme="minorHAnsi" w:hAnsiTheme="minorHAnsi" w:cstheme="minorHAnsi"/>
                <w:b/>
                <w:bCs/>
                <w:sz w:val="18"/>
                <w:szCs w:val="18"/>
              </w:rPr>
            </w:pPr>
            <w:r w:rsidRPr="0083643B">
              <w:rPr>
                <w:rFonts w:asciiTheme="minorHAnsi" w:hAnsiTheme="minorHAnsi" w:cstheme="minorHAnsi"/>
                <w:b/>
                <w:bCs/>
                <w:sz w:val="18"/>
                <w:szCs w:val="18"/>
              </w:rPr>
              <w:t>7.2 Jazdný čas nákladného auta [hod]</w:t>
            </w:r>
          </w:p>
        </w:tc>
        <w:tc>
          <w:tcPr>
            <w:tcW w:w="1276" w:type="dxa"/>
            <w:shd w:val="clear" w:color="auto" w:fill="BDD6EE" w:themeFill="accent1" w:themeFillTint="66"/>
            <w:vAlign w:val="center"/>
            <w:hideMark/>
          </w:tcPr>
          <w:p w14:paraId="4B0F901B" w14:textId="77777777" w:rsidR="00F6764A" w:rsidRPr="00BB4B38" w:rsidRDefault="00F6764A" w:rsidP="00F6764A">
            <w:pPr>
              <w:spacing w:before="0" w:after="0" w:line="240" w:lineRule="auto"/>
              <w:jc w:val="center"/>
              <w:rPr>
                <w:rFonts w:asciiTheme="minorHAnsi" w:hAnsiTheme="minorHAnsi" w:cstheme="minorHAnsi"/>
                <w:bCs/>
                <w:sz w:val="18"/>
                <w:szCs w:val="18"/>
              </w:rPr>
            </w:pPr>
            <w:r w:rsidRPr="00BB4B38">
              <w:rPr>
                <w:rFonts w:asciiTheme="minorHAnsi" w:hAnsiTheme="minorHAnsi" w:cstheme="minorHAnsi"/>
                <w:bCs/>
                <w:sz w:val="18"/>
                <w:szCs w:val="18"/>
              </w:rPr>
              <w:t>Celkom</w:t>
            </w:r>
          </w:p>
        </w:tc>
        <w:tc>
          <w:tcPr>
            <w:tcW w:w="1134" w:type="dxa"/>
            <w:shd w:val="clear" w:color="auto" w:fill="BDD6EE" w:themeFill="accent1" w:themeFillTint="66"/>
            <w:noWrap/>
            <w:vAlign w:val="center"/>
            <w:hideMark/>
          </w:tcPr>
          <w:p w14:paraId="2F1846A8" w14:textId="77777777" w:rsidR="00F6764A" w:rsidRPr="0083643B" w:rsidRDefault="00F6764A" w:rsidP="00F6764A">
            <w:pPr>
              <w:spacing w:before="0" w:after="0" w:line="240" w:lineRule="auto"/>
              <w:jc w:val="center"/>
              <w:rPr>
                <w:rFonts w:asciiTheme="minorHAnsi" w:hAnsiTheme="minorHAnsi" w:cstheme="minorHAnsi"/>
                <w:iCs/>
                <w:sz w:val="18"/>
                <w:szCs w:val="18"/>
              </w:rPr>
            </w:pPr>
            <w:r w:rsidRPr="0083643B">
              <w:rPr>
                <w:rFonts w:asciiTheme="minorHAnsi" w:hAnsiTheme="minorHAnsi" w:cstheme="minorHAnsi"/>
                <w:iCs/>
                <w:sz w:val="18"/>
                <w:szCs w:val="18"/>
              </w:rPr>
              <w:t>2022</w:t>
            </w:r>
          </w:p>
        </w:tc>
        <w:tc>
          <w:tcPr>
            <w:tcW w:w="1134" w:type="dxa"/>
            <w:shd w:val="clear" w:color="auto" w:fill="BDD6EE" w:themeFill="accent1" w:themeFillTint="66"/>
            <w:noWrap/>
            <w:vAlign w:val="center"/>
            <w:hideMark/>
          </w:tcPr>
          <w:p w14:paraId="515B759E" w14:textId="77777777" w:rsidR="00F6764A" w:rsidRPr="0083643B" w:rsidRDefault="00F6764A" w:rsidP="00F6764A">
            <w:pPr>
              <w:spacing w:before="0" w:after="0" w:line="240" w:lineRule="auto"/>
              <w:jc w:val="center"/>
              <w:rPr>
                <w:rFonts w:asciiTheme="minorHAnsi" w:hAnsiTheme="minorHAnsi" w:cstheme="minorHAnsi"/>
                <w:iCs/>
                <w:sz w:val="18"/>
                <w:szCs w:val="18"/>
              </w:rPr>
            </w:pPr>
            <w:r w:rsidRPr="0083643B">
              <w:rPr>
                <w:rFonts w:asciiTheme="minorHAnsi" w:hAnsiTheme="minorHAnsi" w:cstheme="minorHAnsi"/>
                <w:iCs/>
                <w:sz w:val="18"/>
                <w:szCs w:val="18"/>
              </w:rPr>
              <w:t>2023</w:t>
            </w:r>
          </w:p>
        </w:tc>
        <w:tc>
          <w:tcPr>
            <w:tcW w:w="1134" w:type="dxa"/>
            <w:shd w:val="clear" w:color="auto" w:fill="BDD6EE" w:themeFill="accent1" w:themeFillTint="66"/>
            <w:noWrap/>
            <w:vAlign w:val="center"/>
            <w:hideMark/>
          </w:tcPr>
          <w:p w14:paraId="3CBC1F64" w14:textId="77777777" w:rsidR="00F6764A" w:rsidRPr="0083643B" w:rsidRDefault="00F6764A" w:rsidP="00F6764A">
            <w:pPr>
              <w:spacing w:before="0" w:after="0" w:line="240" w:lineRule="auto"/>
              <w:jc w:val="center"/>
              <w:rPr>
                <w:rFonts w:asciiTheme="minorHAnsi" w:hAnsiTheme="minorHAnsi" w:cstheme="minorHAnsi"/>
                <w:iCs/>
                <w:sz w:val="18"/>
                <w:szCs w:val="18"/>
              </w:rPr>
            </w:pPr>
            <w:r w:rsidRPr="0083643B">
              <w:rPr>
                <w:rFonts w:asciiTheme="minorHAnsi" w:hAnsiTheme="minorHAnsi" w:cstheme="minorHAnsi"/>
                <w:iCs/>
                <w:sz w:val="18"/>
                <w:szCs w:val="18"/>
              </w:rPr>
              <w:t>2024</w:t>
            </w:r>
          </w:p>
        </w:tc>
        <w:tc>
          <w:tcPr>
            <w:tcW w:w="1134" w:type="dxa"/>
            <w:shd w:val="clear" w:color="auto" w:fill="BDD6EE" w:themeFill="accent1" w:themeFillTint="66"/>
            <w:noWrap/>
            <w:vAlign w:val="center"/>
            <w:hideMark/>
          </w:tcPr>
          <w:p w14:paraId="180D15E0" w14:textId="77777777" w:rsidR="00F6764A" w:rsidRPr="0083643B" w:rsidRDefault="00F6764A" w:rsidP="00F6764A">
            <w:pPr>
              <w:spacing w:before="0" w:after="0" w:line="240" w:lineRule="auto"/>
              <w:jc w:val="center"/>
              <w:rPr>
                <w:rFonts w:asciiTheme="minorHAnsi" w:hAnsiTheme="minorHAnsi" w:cstheme="minorHAnsi"/>
                <w:iCs/>
                <w:sz w:val="18"/>
                <w:szCs w:val="18"/>
              </w:rPr>
            </w:pPr>
            <w:r w:rsidRPr="0083643B">
              <w:rPr>
                <w:rFonts w:asciiTheme="minorHAnsi" w:hAnsiTheme="minorHAnsi" w:cstheme="minorHAnsi"/>
                <w:iCs/>
                <w:sz w:val="18"/>
                <w:szCs w:val="18"/>
              </w:rPr>
              <w:t>2025</w:t>
            </w:r>
          </w:p>
        </w:tc>
        <w:tc>
          <w:tcPr>
            <w:tcW w:w="1134" w:type="dxa"/>
            <w:shd w:val="clear" w:color="auto" w:fill="BDD6EE" w:themeFill="accent1" w:themeFillTint="66"/>
            <w:noWrap/>
            <w:vAlign w:val="center"/>
            <w:hideMark/>
          </w:tcPr>
          <w:p w14:paraId="490CDDFC" w14:textId="77777777" w:rsidR="00F6764A" w:rsidRPr="0083643B" w:rsidRDefault="00F6764A" w:rsidP="00F6764A">
            <w:pPr>
              <w:spacing w:before="0" w:after="0" w:line="240" w:lineRule="auto"/>
              <w:jc w:val="center"/>
              <w:rPr>
                <w:rFonts w:asciiTheme="minorHAnsi" w:hAnsiTheme="minorHAnsi" w:cstheme="minorHAnsi"/>
                <w:iCs/>
                <w:sz w:val="18"/>
                <w:szCs w:val="18"/>
              </w:rPr>
            </w:pPr>
            <w:r w:rsidRPr="0083643B">
              <w:rPr>
                <w:rFonts w:asciiTheme="minorHAnsi" w:hAnsiTheme="minorHAnsi" w:cstheme="minorHAnsi"/>
                <w:iCs/>
                <w:sz w:val="18"/>
                <w:szCs w:val="18"/>
              </w:rPr>
              <w:t>2026</w:t>
            </w:r>
          </w:p>
        </w:tc>
      </w:tr>
      <w:tr w:rsidR="00F6764A" w:rsidRPr="0083643B" w14:paraId="1A9E0214" w14:textId="77777777" w:rsidTr="00F6764A">
        <w:trPr>
          <w:trHeight w:val="225"/>
        </w:trPr>
        <w:tc>
          <w:tcPr>
            <w:tcW w:w="2263" w:type="dxa"/>
            <w:shd w:val="clear" w:color="auto" w:fill="DEEAF6" w:themeFill="accent1" w:themeFillTint="33"/>
            <w:noWrap/>
            <w:vAlign w:val="bottom"/>
            <w:hideMark/>
          </w:tcPr>
          <w:p w14:paraId="3B6B8885" w14:textId="77777777" w:rsidR="00F6764A" w:rsidRPr="002B079F" w:rsidRDefault="00F6764A" w:rsidP="00F6764A">
            <w:pPr>
              <w:spacing w:before="0" w:after="0" w:line="240" w:lineRule="auto"/>
              <w:jc w:val="left"/>
              <w:rPr>
                <w:rFonts w:asciiTheme="minorHAnsi" w:hAnsiTheme="minorHAnsi" w:cstheme="minorHAnsi"/>
                <w:sz w:val="18"/>
                <w:szCs w:val="18"/>
              </w:rPr>
            </w:pPr>
            <w:r w:rsidRPr="0083643B">
              <w:rPr>
                <w:rFonts w:asciiTheme="minorHAnsi" w:hAnsiTheme="minorHAnsi" w:cstheme="minorHAnsi"/>
                <w:sz w:val="18"/>
                <w:szCs w:val="18"/>
              </w:rPr>
              <w:t>Jazdný čas BEZ PROJEKTU</w:t>
            </w:r>
          </w:p>
        </w:tc>
        <w:tc>
          <w:tcPr>
            <w:tcW w:w="1276" w:type="dxa"/>
            <w:shd w:val="clear" w:color="auto" w:fill="auto"/>
            <w:noWrap/>
            <w:vAlign w:val="center"/>
            <w:hideMark/>
          </w:tcPr>
          <w:p w14:paraId="27612392"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1 935 503</w:t>
            </w:r>
          </w:p>
        </w:tc>
        <w:tc>
          <w:tcPr>
            <w:tcW w:w="1134" w:type="dxa"/>
            <w:shd w:val="clear" w:color="auto" w:fill="auto"/>
            <w:noWrap/>
            <w:vAlign w:val="center"/>
            <w:hideMark/>
          </w:tcPr>
          <w:p w14:paraId="549E55EE"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371 551</w:t>
            </w:r>
          </w:p>
        </w:tc>
        <w:tc>
          <w:tcPr>
            <w:tcW w:w="1134" w:type="dxa"/>
            <w:shd w:val="clear" w:color="auto" w:fill="auto"/>
            <w:noWrap/>
            <w:vAlign w:val="center"/>
            <w:hideMark/>
          </w:tcPr>
          <w:p w14:paraId="595366A6"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379 168</w:t>
            </w:r>
          </w:p>
        </w:tc>
        <w:tc>
          <w:tcPr>
            <w:tcW w:w="1134" w:type="dxa"/>
            <w:shd w:val="clear" w:color="auto" w:fill="auto"/>
            <w:noWrap/>
            <w:vAlign w:val="center"/>
            <w:hideMark/>
          </w:tcPr>
          <w:p w14:paraId="6F95CA50"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386 941</w:t>
            </w:r>
          </w:p>
        </w:tc>
        <w:tc>
          <w:tcPr>
            <w:tcW w:w="1134" w:type="dxa"/>
            <w:shd w:val="clear" w:color="auto" w:fill="auto"/>
            <w:noWrap/>
            <w:vAlign w:val="center"/>
            <w:hideMark/>
          </w:tcPr>
          <w:p w14:paraId="607F615C"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394 873</w:t>
            </w:r>
          </w:p>
        </w:tc>
        <w:tc>
          <w:tcPr>
            <w:tcW w:w="1134" w:type="dxa"/>
            <w:shd w:val="clear" w:color="auto" w:fill="auto"/>
            <w:noWrap/>
            <w:vAlign w:val="center"/>
            <w:hideMark/>
          </w:tcPr>
          <w:p w14:paraId="11C701D5"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402 968</w:t>
            </w:r>
          </w:p>
        </w:tc>
      </w:tr>
      <w:tr w:rsidR="00F6764A" w:rsidRPr="0083643B" w14:paraId="759AEAAB" w14:textId="77777777" w:rsidTr="00F6764A">
        <w:trPr>
          <w:trHeight w:val="225"/>
        </w:trPr>
        <w:tc>
          <w:tcPr>
            <w:tcW w:w="2263" w:type="dxa"/>
            <w:shd w:val="clear" w:color="auto" w:fill="DEEAF6" w:themeFill="accent1" w:themeFillTint="33"/>
            <w:noWrap/>
            <w:vAlign w:val="bottom"/>
            <w:hideMark/>
          </w:tcPr>
          <w:p w14:paraId="3AC2677F" w14:textId="77777777" w:rsidR="00F6764A" w:rsidRPr="002B079F" w:rsidRDefault="00F6764A" w:rsidP="00F6764A">
            <w:pPr>
              <w:spacing w:before="0" w:after="0" w:line="240" w:lineRule="auto"/>
              <w:jc w:val="left"/>
              <w:rPr>
                <w:rFonts w:asciiTheme="minorHAnsi" w:hAnsiTheme="minorHAnsi" w:cstheme="minorHAnsi"/>
                <w:sz w:val="18"/>
                <w:szCs w:val="18"/>
              </w:rPr>
            </w:pPr>
            <w:r w:rsidRPr="0083643B">
              <w:rPr>
                <w:rFonts w:asciiTheme="minorHAnsi" w:hAnsiTheme="minorHAnsi" w:cstheme="minorHAnsi"/>
                <w:sz w:val="18"/>
                <w:szCs w:val="18"/>
              </w:rPr>
              <w:t>Jazdný čas S</w:t>
            </w:r>
            <w:r>
              <w:rPr>
                <w:rFonts w:asciiTheme="minorHAnsi" w:hAnsiTheme="minorHAnsi" w:cstheme="minorHAnsi"/>
                <w:sz w:val="18"/>
                <w:szCs w:val="18"/>
              </w:rPr>
              <w:t> </w:t>
            </w:r>
            <w:r w:rsidRPr="0083643B">
              <w:rPr>
                <w:rFonts w:asciiTheme="minorHAnsi" w:hAnsiTheme="minorHAnsi" w:cstheme="minorHAnsi"/>
                <w:sz w:val="18"/>
                <w:szCs w:val="18"/>
              </w:rPr>
              <w:t>PROJEKTOM</w:t>
            </w:r>
            <w:r>
              <w:rPr>
                <w:rFonts w:asciiTheme="minorHAnsi" w:hAnsiTheme="minorHAnsi" w:cstheme="minorHAnsi"/>
                <w:sz w:val="18"/>
                <w:szCs w:val="18"/>
              </w:rPr>
              <w:t xml:space="preserve"> (pravidlo polovice)</w:t>
            </w:r>
          </w:p>
        </w:tc>
        <w:tc>
          <w:tcPr>
            <w:tcW w:w="1276" w:type="dxa"/>
            <w:shd w:val="clear" w:color="auto" w:fill="auto"/>
            <w:noWrap/>
            <w:vAlign w:val="center"/>
            <w:hideMark/>
          </w:tcPr>
          <w:p w14:paraId="4F094FBF"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1 738 811</w:t>
            </w:r>
          </w:p>
        </w:tc>
        <w:tc>
          <w:tcPr>
            <w:tcW w:w="1134" w:type="dxa"/>
            <w:shd w:val="clear" w:color="auto" w:fill="auto"/>
            <w:noWrap/>
            <w:vAlign w:val="center"/>
            <w:hideMark/>
          </w:tcPr>
          <w:p w14:paraId="33453FB5"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362 263</w:t>
            </w:r>
          </w:p>
        </w:tc>
        <w:tc>
          <w:tcPr>
            <w:tcW w:w="1134" w:type="dxa"/>
            <w:shd w:val="clear" w:color="auto" w:fill="auto"/>
            <w:noWrap/>
            <w:vAlign w:val="center"/>
            <w:hideMark/>
          </w:tcPr>
          <w:p w14:paraId="02A9DD1F"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360 210</w:t>
            </w:r>
          </w:p>
        </w:tc>
        <w:tc>
          <w:tcPr>
            <w:tcW w:w="1134" w:type="dxa"/>
            <w:shd w:val="clear" w:color="auto" w:fill="auto"/>
            <w:noWrap/>
            <w:vAlign w:val="center"/>
            <w:hideMark/>
          </w:tcPr>
          <w:p w14:paraId="4994A3FC"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348 247</w:t>
            </w:r>
          </w:p>
        </w:tc>
        <w:tc>
          <w:tcPr>
            <w:tcW w:w="1134" w:type="dxa"/>
            <w:shd w:val="clear" w:color="auto" w:fill="auto"/>
            <w:noWrap/>
            <w:vAlign w:val="center"/>
            <w:hideMark/>
          </w:tcPr>
          <w:p w14:paraId="6663DD74"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335 642</w:t>
            </w:r>
          </w:p>
        </w:tc>
        <w:tc>
          <w:tcPr>
            <w:tcW w:w="1134" w:type="dxa"/>
            <w:shd w:val="clear" w:color="auto" w:fill="auto"/>
            <w:noWrap/>
            <w:vAlign w:val="center"/>
            <w:hideMark/>
          </w:tcPr>
          <w:p w14:paraId="203392FE"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332 449</w:t>
            </w:r>
          </w:p>
        </w:tc>
      </w:tr>
      <w:tr w:rsidR="00F6764A" w:rsidRPr="0083643B" w14:paraId="1686CF2D" w14:textId="77777777" w:rsidTr="00F6764A">
        <w:trPr>
          <w:trHeight w:val="225"/>
        </w:trPr>
        <w:tc>
          <w:tcPr>
            <w:tcW w:w="2263" w:type="dxa"/>
            <w:shd w:val="clear" w:color="auto" w:fill="BDD6EE" w:themeFill="accent1" w:themeFillTint="66"/>
            <w:noWrap/>
            <w:vAlign w:val="bottom"/>
            <w:hideMark/>
          </w:tcPr>
          <w:p w14:paraId="53299E80" w14:textId="77777777" w:rsidR="00F6764A" w:rsidRPr="002B079F" w:rsidRDefault="00F6764A" w:rsidP="00F6764A">
            <w:pPr>
              <w:spacing w:before="0" w:after="0" w:line="240" w:lineRule="auto"/>
              <w:jc w:val="left"/>
              <w:rPr>
                <w:rFonts w:asciiTheme="minorHAnsi" w:hAnsiTheme="minorHAnsi" w:cstheme="minorHAnsi"/>
                <w:b/>
                <w:bCs/>
                <w:sz w:val="18"/>
                <w:szCs w:val="18"/>
              </w:rPr>
            </w:pPr>
            <w:r w:rsidRPr="0083643B">
              <w:rPr>
                <w:rFonts w:asciiTheme="minorHAnsi" w:hAnsiTheme="minorHAnsi" w:cstheme="minorHAnsi"/>
                <w:b/>
                <w:sz w:val="18"/>
                <w:szCs w:val="18"/>
              </w:rPr>
              <w:t>Úspora času [hod]</w:t>
            </w:r>
          </w:p>
        </w:tc>
        <w:tc>
          <w:tcPr>
            <w:tcW w:w="1276" w:type="dxa"/>
            <w:shd w:val="clear" w:color="auto" w:fill="BDD6EE" w:themeFill="accent1" w:themeFillTint="66"/>
            <w:noWrap/>
            <w:vAlign w:val="center"/>
            <w:hideMark/>
          </w:tcPr>
          <w:p w14:paraId="7EB2826B" w14:textId="77777777" w:rsidR="00F6764A" w:rsidRPr="002B079F"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sz w:val="18"/>
                <w:szCs w:val="18"/>
              </w:rPr>
              <w:t>196 692</w:t>
            </w:r>
          </w:p>
        </w:tc>
        <w:tc>
          <w:tcPr>
            <w:tcW w:w="1134" w:type="dxa"/>
            <w:shd w:val="clear" w:color="auto" w:fill="BDD6EE" w:themeFill="accent1" w:themeFillTint="66"/>
            <w:noWrap/>
            <w:vAlign w:val="center"/>
            <w:hideMark/>
          </w:tcPr>
          <w:p w14:paraId="21422E9F" w14:textId="77777777" w:rsidR="00F6764A" w:rsidRPr="002B079F"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sz w:val="18"/>
                <w:szCs w:val="18"/>
              </w:rPr>
              <w:t>9 289</w:t>
            </w:r>
          </w:p>
        </w:tc>
        <w:tc>
          <w:tcPr>
            <w:tcW w:w="1134" w:type="dxa"/>
            <w:shd w:val="clear" w:color="auto" w:fill="BDD6EE" w:themeFill="accent1" w:themeFillTint="66"/>
            <w:noWrap/>
            <w:vAlign w:val="center"/>
            <w:hideMark/>
          </w:tcPr>
          <w:p w14:paraId="03034509" w14:textId="77777777" w:rsidR="00F6764A" w:rsidRPr="002B079F"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sz w:val="18"/>
                <w:szCs w:val="18"/>
              </w:rPr>
              <w:t>18 958</w:t>
            </w:r>
          </w:p>
        </w:tc>
        <w:tc>
          <w:tcPr>
            <w:tcW w:w="1134" w:type="dxa"/>
            <w:shd w:val="clear" w:color="auto" w:fill="BDD6EE" w:themeFill="accent1" w:themeFillTint="66"/>
            <w:noWrap/>
            <w:vAlign w:val="center"/>
            <w:hideMark/>
          </w:tcPr>
          <w:p w14:paraId="2F7C1162" w14:textId="77777777" w:rsidR="00F6764A" w:rsidRPr="002B079F"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sz w:val="18"/>
                <w:szCs w:val="18"/>
              </w:rPr>
              <w:t>38 694</w:t>
            </w:r>
          </w:p>
        </w:tc>
        <w:tc>
          <w:tcPr>
            <w:tcW w:w="1134" w:type="dxa"/>
            <w:shd w:val="clear" w:color="auto" w:fill="BDD6EE" w:themeFill="accent1" w:themeFillTint="66"/>
            <w:noWrap/>
            <w:vAlign w:val="center"/>
            <w:hideMark/>
          </w:tcPr>
          <w:p w14:paraId="45B3AF66" w14:textId="77777777" w:rsidR="00F6764A" w:rsidRPr="002B079F"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sz w:val="18"/>
                <w:szCs w:val="18"/>
              </w:rPr>
              <w:t>59 231</w:t>
            </w:r>
          </w:p>
        </w:tc>
        <w:tc>
          <w:tcPr>
            <w:tcW w:w="1134" w:type="dxa"/>
            <w:shd w:val="clear" w:color="auto" w:fill="BDD6EE" w:themeFill="accent1" w:themeFillTint="66"/>
            <w:noWrap/>
            <w:vAlign w:val="center"/>
            <w:hideMark/>
          </w:tcPr>
          <w:p w14:paraId="195CC1E3" w14:textId="77777777" w:rsidR="00F6764A" w:rsidRPr="002B079F"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sz w:val="18"/>
                <w:szCs w:val="18"/>
              </w:rPr>
              <w:t>70 519</w:t>
            </w:r>
          </w:p>
        </w:tc>
      </w:tr>
      <w:tr w:rsidR="00F6764A" w:rsidRPr="0083643B" w14:paraId="378D7B06" w14:textId="77777777" w:rsidTr="00F6764A">
        <w:trPr>
          <w:trHeight w:val="225"/>
        </w:trPr>
        <w:tc>
          <w:tcPr>
            <w:tcW w:w="2263" w:type="dxa"/>
            <w:shd w:val="clear" w:color="auto" w:fill="DEEAF6" w:themeFill="accent1" w:themeFillTint="33"/>
            <w:noWrap/>
            <w:vAlign w:val="bottom"/>
            <w:hideMark/>
          </w:tcPr>
          <w:p w14:paraId="4CC69D2E" w14:textId="77777777" w:rsidR="00F6764A" w:rsidRPr="002B079F" w:rsidRDefault="00F6764A" w:rsidP="00F6764A">
            <w:pPr>
              <w:spacing w:before="0" w:after="0" w:line="240" w:lineRule="auto"/>
              <w:jc w:val="left"/>
              <w:rPr>
                <w:rFonts w:asciiTheme="minorHAnsi" w:hAnsiTheme="minorHAnsi" w:cstheme="minorHAnsi"/>
                <w:sz w:val="18"/>
                <w:szCs w:val="18"/>
              </w:rPr>
            </w:pPr>
            <w:r w:rsidRPr="0083643B">
              <w:rPr>
                <w:rFonts w:asciiTheme="minorHAnsi" w:hAnsiTheme="minorHAnsi" w:cstheme="minorHAnsi"/>
                <w:sz w:val="18"/>
                <w:szCs w:val="18"/>
              </w:rPr>
              <w:t>Hodnota úspory času pri pracovných cestách</w:t>
            </w:r>
            <w:r>
              <w:rPr>
                <w:rFonts w:asciiTheme="minorHAnsi" w:hAnsiTheme="minorHAnsi" w:cstheme="minorHAnsi"/>
                <w:sz w:val="18"/>
                <w:szCs w:val="18"/>
              </w:rPr>
              <w:t xml:space="preserve"> [Eur]</w:t>
            </w:r>
          </w:p>
        </w:tc>
        <w:tc>
          <w:tcPr>
            <w:tcW w:w="1276" w:type="dxa"/>
            <w:shd w:val="clear" w:color="auto" w:fill="auto"/>
            <w:noWrap/>
            <w:vAlign w:val="center"/>
            <w:hideMark/>
          </w:tcPr>
          <w:p w14:paraId="7A88D183"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3 852 534</w:t>
            </w:r>
          </w:p>
        </w:tc>
        <w:tc>
          <w:tcPr>
            <w:tcW w:w="1134" w:type="dxa"/>
            <w:shd w:val="clear" w:color="auto" w:fill="auto"/>
            <w:noWrap/>
            <w:vAlign w:val="center"/>
            <w:hideMark/>
          </w:tcPr>
          <w:p w14:paraId="6DDA8CB1"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171 007</w:t>
            </w:r>
          </w:p>
        </w:tc>
        <w:tc>
          <w:tcPr>
            <w:tcW w:w="1134" w:type="dxa"/>
            <w:shd w:val="clear" w:color="auto" w:fill="auto"/>
            <w:noWrap/>
            <w:vAlign w:val="center"/>
            <w:hideMark/>
          </w:tcPr>
          <w:p w14:paraId="7454571C"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357 176</w:t>
            </w:r>
          </w:p>
        </w:tc>
        <w:tc>
          <w:tcPr>
            <w:tcW w:w="1134" w:type="dxa"/>
            <w:shd w:val="clear" w:color="auto" w:fill="auto"/>
            <w:noWrap/>
            <w:vAlign w:val="center"/>
            <w:hideMark/>
          </w:tcPr>
          <w:p w14:paraId="629ED444"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745 249</w:t>
            </w:r>
          </w:p>
        </w:tc>
        <w:tc>
          <w:tcPr>
            <w:tcW w:w="1134" w:type="dxa"/>
            <w:shd w:val="clear" w:color="auto" w:fill="auto"/>
            <w:noWrap/>
            <w:vAlign w:val="center"/>
            <w:hideMark/>
          </w:tcPr>
          <w:p w14:paraId="024221BA"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1 164 482</w:t>
            </w:r>
          </w:p>
        </w:tc>
        <w:tc>
          <w:tcPr>
            <w:tcW w:w="1134" w:type="dxa"/>
            <w:shd w:val="clear" w:color="auto" w:fill="auto"/>
            <w:noWrap/>
            <w:vAlign w:val="center"/>
            <w:hideMark/>
          </w:tcPr>
          <w:p w14:paraId="3E149B10"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1 414 620</w:t>
            </w:r>
          </w:p>
        </w:tc>
      </w:tr>
      <w:tr w:rsidR="00F6764A" w:rsidRPr="0083643B" w14:paraId="227FDD94" w14:textId="77777777" w:rsidTr="00F6764A">
        <w:trPr>
          <w:trHeight w:val="225"/>
        </w:trPr>
        <w:tc>
          <w:tcPr>
            <w:tcW w:w="2263" w:type="dxa"/>
            <w:shd w:val="clear" w:color="auto" w:fill="BDD6EE" w:themeFill="accent1" w:themeFillTint="66"/>
            <w:noWrap/>
            <w:vAlign w:val="bottom"/>
            <w:hideMark/>
          </w:tcPr>
          <w:p w14:paraId="49B5673A" w14:textId="77777777" w:rsidR="00F6764A" w:rsidRPr="002B079F" w:rsidRDefault="00F6764A" w:rsidP="00F6764A">
            <w:pPr>
              <w:spacing w:before="0" w:after="0" w:line="240" w:lineRule="auto"/>
              <w:jc w:val="left"/>
              <w:rPr>
                <w:rFonts w:asciiTheme="minorHAnsi" w:hAnsiTheme="minorHAnsi" w:cstheme="minorHAnsi"/>
                <w:sz w:val="18"/>
                <w:szCs w:val="18"/>
              </w:rPr>
            </w:pPr>
            <w:r w:rsidRPr="0083643B">
              <w:rPr>
                <w:rFonts w:asciiTheme="minorHAnsi" w:hAnsiTheme="minorHAnsi" w:cstheme="minorHAnsi"/>
                <w:b/>
                <w:bCs/>
                <w:sz w:val="18"/>
                <w:szCs w:val="18"/>
              </w:rPr>
              <w:t>Úspora času celkom</w:t>
            </w:r>
            <w:r>
              <w:rPr>
                <w:rFonts w:asciiTheme="minorHAnsi" w:hAnsiTheme="minorHAnsi" w:cstheme="minorHAnsi"/>
                <w:b/>
                <w:bCs/>
                <w:sz w:val="18"/>
                <w:szCs w:val="18"/>
              </w:rPr>
              <w:t xml:space="preserve"> [Eur]</w:t>
            </w:r>
          </w:p>
        </w:tc>
        <w:tc>
          <w:tcPr>
            <w:tcW w:w="1276" w:type="dxa"/>
            <w:shd w:val="clear" w:color="auto" w:fill="BDD6EE" w:themeFill="accent1" w:themeFillTint="66"/>
            <w:noWrap/>
            <w:vAlign w:val="center"/>
            <w:hideMark/>
          </w:tcPr>
          <w:p w14:paraId="4F45F1F0"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b/>
                <w:bCs/>
                <w:sz w:val="18"/>
                <w:szCs w:val="18"/>
              </w:rPr>
              <w:t>3 852 534</w:t>
            </w:r>
          </w:p>
        </w:tc>
        <w:tc>
          <w:tcPr>
            <w:tcW w:w="1134" w:type="dxa"/>
            <w:shd w:val="clear" w:color="auto" w:fill="BDD6EE" w:themeFill="accent1" w:themeFillTint="66"/>
            <w:noWrap/>
            <w:vAlign w:val="center"/>
            <w:hideMark/>
          </w:tcPr>
          <w:p w14:paraId="495F642C"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b/>
                <w:bCs/>
                <w:sz w:val="18"/>
                <w:szCs w:val="18"/>
              </w:rPr>
              <w:t>171 007</w:t>
            </w:r>
          </w:p>
        </w:tc>
        <w:tc>
          <w:tcPr>
            <w:tcW w:w="1134" w:type="dxa"/>
            <w:shd w:val="clear" w:color="auto" w:fill="BDD6EE" w:themeFill="accent1" w:themeFillTint="66"/>
            <w:noWrap/>
            <w:vAlign w:val="center"/>
            <w:hideMark/>
          </w:tcPr>
          <w:p w14:paraId="6B92B99C"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b/>
                <w:bCs/>
                <w:sz w:val="18"/>
                <w:szCs w:val="18"/>
              </w:rPr>
              <w:t>357 176</w:t>
            </w:r>
          </w:p>
        </w:tc>
        <w:tc>
          <w:tcPr>
            <w:tcW w:w="1134" w:type="dxa"/>
            <w:shd w:val="clear" w:color="auto" w:fill="BDD6EE" w:themeFill="accent1" w:themeFillTint="66"/>
            <w:noWrap/>
            <w:vAlign w:val="center"/>
            <w:hideMark/>
          </w:tcPr>
          <w:p w14:paraId="76E77667"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b/>
                <w:bCs/>
                <w:sz w:val="18"/>
                <w:szCs w:val="18"/>
              </w:rPr>
              <w:t>745 249</w:t>
            </w:r>
          </w:p>
        </w:tc>
        <w:tc>
          <w:tcPr>
            <w:tcW w:w="1134" w:type="dxa"/>
            <w:shd w:val="clear" w:color="auto" w:fill="BDD6EE" w:themeFill="accent1" w:themeFillTint="66"/>
            <w:noWrap/>
            <w:vAlign w:val="center"/>
            <w:hideMark/>
          </w:tcPr>
          <w:p w14:paraId="28B63A71"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b/>
                <w:bCs/>
                <w:sz w:val="18"/>
                <w:szCs w:val="18"/>
              </w:rPr>
              <w:t>1 164 482</w:t>
            </w:r>
          </w:p>
        </w:tc>
        <w:tc>
          <w:tcPr>
            <w:tcW w:w="1134" w:type="dxa"/>
            <w:shd w:val="clear" w:color="auto" w:fill="BDD6EE" w:themeFill="accent1" w:themeFillTint="66"/>
            <w:noWrap/>
            <w:vAlign w:val="center"/>
            <w:hideMark/>
          </w:tcPr>
          <w:p w14:paraId="71ECBF9D" w14:textId="77777777" w:rsidR="00F6764A" w:rsidRPr="002B079F"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b/>
                <w:bCs/>
                <w:sz w:val="18"/>
                <w:szCs w:val="18"/>
              </w:rPr>
              <w:t>1 414 620</w:t>
            </w:r>
          </w:p>
        </w:tc>
      </w:tr>
    </w:tbl>
    <w:p w14:paraId="1E642DD7" w14:textId="2C55AE6E" w:rsidR="00F6764A" w:rsidRDefault="00F6764A" w:rsidP="00F6764A">
      <w:r w:rsidRPr="0083643B">
        <w:rPr>
          <w:i/>
          <w:sz w:val="16"/>
        </w:rPr>
        <w:t>Zdroj: Príloha 1, hárok 07</w:t>
      </w:r>
      <w:r>
        <w:t xml:space="preserve">   </w:t>
      </w:r>
    </w:p>
    <w:p w14:paraId="6E11826E" w14:textId="77777777" w:rsidR="004C1394" w:rsidRDefault="004C1394" w:rsidP="00F6764A"/>
    <w:p w14:paraId="08225E1D" w14:textId="69690AE5" w:rsidR="00447F44" w:rsidRDefault="00447F44" w:rsidP="00A40297">
      <w:pPr>
        <w:pStyle w:val="Heading3"/>
      </w:pPr>
      <w:bookmarkStart w:id="173" w:name="_Toc33006425"/>
      <w:bookmarkStart w:id="174" w:name="_Toc87348764"/>
      <w:r>
        <w:t>Výsledky Ekonomickej analýzy</w:t>
      </w:r>
      <w:bookmarkEnd w:id="173"/>
      <w:r w:rsidR="0095790F">
        <w:t xml:space="preserve"> – Variant </w:t>
      </w:r>
      <w:r w:rsidR="00DD56D5">
        <w:t>1</w:t>
      </w:r>
      <w:bookmarkEnd w:id="174"/>
    </w:p>
    <w:p w14:paraId="7C55C79B" w14:textId="442ADE06" w:rsidR="00035E7F" w:rsidRDefault="00035E7F" w:rsidP="00447F44">
      <w:r>
        <w:t>Na základe hotovostných tokov</w:t>
      </w:r>
      <w:r w:rsidR="00A90887">
        <w:t>,</w:t>
      </w:r>
      <w:r>
        <w:t xml:space="preserve"> ekonomických nákladov a príjmov variantu </w:t>
      </w:r>
      <w:r w:rsidR="00DD56D5">
        <w:t xml:space="preserve">1 </w:t>
      </w:r>
      <w:r>
        <w:t xml:space="preserve">bola stanovená </w:t>
      </w:r>
      <w:r w:rsidR="005E7C86">
        <w:t xml:space="preserve">ekonomická </w:t>
      </w:r>
      <w:r>
        <w:t xml:space="preserve">čistá súčasná hodnota investície </w:t>
      </w:r>
      <w:r w:rsidR="005E7C86">
        <w:t>E</w:t>
      </w:r>
      <w:r>
        <w:t>NPV. Ako bolo vysvetlené vyššie, externality nie sú pre projekt implementácie relevantné a nie sú v ekonomickej analýze uplatnené.</w:t>
      </w:r>
    </w:p>
    <w:p w14:paraId="29812C05" w14:textId="423278FE" w:rsidR="00447F44" w:rsidRDefault="00447F44" w:rsidP="00447F44">
      <w:r>
        <w:t xml:space="preserve">Sumárne údaje </w:t>
      </w:r>
      <w:r w:rsidR="00035E7F">
        <w:t xml:space="preserve">(údaje v stĺpci „Celkom“) </w:t>
      </w:r>
      <w:r>
        <w:t xml:space="preserve">sú diskontované s ekonomickou diskontnou mierou 5 %. </w:t>
      </w:r>
    </w:p>
    <w:p w14:paraId="3A5C456F" w14:textId="523972E0" w:rsidR="00035E7F" w:rsidRDefault="00035E7F" w:rsidP="00EF1CB7">
      <w:pPr>
        <w:pStyle w:val="Caption"/>
      </w:pPr>
      <w:r>
        <w:lastRenderedPageBreak/>
        <w:t xml:space="preserve">Tab. </w:t>
      </w:r>
      <w:r>
        <w:fldChar w:fldCharType="begin"/>
      </w:r>
      <w:r>
        <w:instrText xml:space="preserve"> SEQ Tab. \* ARABIC </w:instrText>
      </w:r>
      <w:r>
        <w:fldChar w:fldCharType="separate"/>
      </w:r>
      <w:r w:rsidR="00A86720">
        <w:rPr>
          <w:noProof/>
        </w:rPr>
        <w:t>56</w:t>
      </w:r>
      <w:r>
        <w:fldChar w:fldCharType="end"/>
      </w:r>
      <w:r>
        <w:t xml:space="preserve"> - Ekonomická čistá súčasná hodnota investície</w:t>
      </w:r>
    </w:p>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2263"/>
        <w:gridCol w:w="1276"/>
        <w:gridCol w:w="1134"/>
        <w:gridCol w:w="1134"/>
        <w:gridCol w:w="1134"/>
        <w:gridCol w:w="1134"/>
        <w:gridCol w:w="1134"/>
      </w:tblGrid>
      <w:tr w:rsidR="00885988" w:rsidRPr="00885988" w14:paraId="6654A7CD" w14:textId="77777777" w:rsidTr="00A40297">
        <w:trPr>
          <w:trHeight w:val="450"/>
        </w:trPr>
        <w:tc>
          <w:tcPr>
            <w:tcW w:w="2263" w:type="dxa"/>
            <w:shd w:val="clear" w:color="auto" w:fill="BDD6EE" w:themeFill="accent1" w:themeFillTint="66"/>
            <w:noWrap/>
            <w:vAlign w:val="center"/>
            <w:hideMark/>
          </w:tcPr>
          <w:p w14:paraId="4170BD36" w14:textId="1266D9A0" w:rsidR="00885988" w:rsidRPr="00885988" w:rsidRDefault="00885988" w:rsidP="00DD56D5">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11.1 Čistá súčasná hodnota investície</w:t>
            </w:r>
          </w:p>
        </w:tc>
        <w:tc>
          <w:tcPr>
            <w:tcW w:w="1276" w:type="dxa"/>
            <w:shd w:val="clear" w:color="auto" w:fill="BDD6EE" w:themeFill="accent1" w:themeFillTint="66"/>
            <w:vAlign w:val="center"/>
            <w:hideMark/>
          </w:tcPr>
          <w:p w14:paraId="1D17979D" w14:textId="77777777" w:rsidR="00885988" w:rsidRPr="00885988" w:rsidRDefault="00885988" w:rsidP="00885988">
            <w:pPr>
              <w:spacing w:before="0" w:after="0" w:line="240" w:lineRule="auto"/>
              <w:jc w:val="center"/>
              <w:rPr>
                <w:rFonts w:asciiTheme="minorHAnsi" w:hAnsiTheme="minorHAnsi" w:cs="Arial"/>
                <w:bCs/>
                <w:sz w:val="18"/>
                <w:szCs w:val="18"/>
              </w:rPr>
            </w:pPr>
            <w:r w:rsidRPr="00885988">
              <w:rPr>
                <w:rFonts w:asciiTheme="minorHAnsi" w:hAnsiTheme="minorHAnsi" w:cs="Arial"/>
                <w:bCs/>
                <w:sz w:val="18"/>
                <w:szCs w:val="18"/>
              </w:rPr>
              <w:t>Celkom (diskontované)</w:t>
            </w:r>
          </w:p>
        </w:tc>
        <w:tc>
          <w:tcPr>
            <w:tcW w:w="1134" w:type="dxa"/>
            <w:shd w:val="clear" w:color="auto" w:fill="BDD6EE" w:themeFill="accent1" w:themeFillTint="66"/>
            <w:noWrap/>
            <w:vAlign w:val="center"/>
            <w:hideMark/>
          </w:tcPr>
          <w:p w14:paraId="2D201117" w14:textId="77777777" w:rsidR="00885988" w:rsidRPr="00885988" w:rsidRDefault="00885988" w:rsidP="00885988">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2022</w:t>
            </w:r>
          </w:p>
        </w:tc>
        <w:tc>
          <w:tcPr>
            <w:tcW w:w="1134" w:type="dxa"/>
            <w:shd w:val="clear" w:color="auto" w:fill="BDD6EE" w:themeFill="accent1" w:themeFillTint="66"/>
            <w:noWrap/>
            <w:vAlign w:val="center"/>
            <w:hideMark/>
          </w:tcPr>
          <w:p w14:paraId="423C7BE4" w14:textId="77777777" w:rsidR="00885988" w:rsidRPr="00885988" w:rsidRDefault="00885988" w:rsidP="00885988">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2023</w:t>
            </w:r>
          </w:p>
        </w:tc>
        <w:tc>
          <w:tcPr>
            <w:tcW w:w="1134" w:type="dxa"/>
            <w:shd w:val="clear" w:color="auto" w:fill="BDD6EE" w:themeFill="accent1" w:themeFillTint="66"/>
            <w:noWrap/>
            <w:vAlign w:val="center"/>
            <w:hideMark/>
          </w:tcPr>
          <w:p w14:paraId="2569C02F" w14:textId="77777777" w:rsidR="00885988" w:rsidRPr="00885988" w:rsidRDefault="00885988" w:rsidP="00885988">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2024</w:t>
            </w:r>
          </w:p>
        </w:tc>
        <w:tc>
          <w:tcPr>
            <w:tcW w:w="1134" w:type="dxa"/>
            <w:shd w:val="clear" w:color="auto" w:fill="BDD6EE" w:themeFill="accent1" w:themeFillTint="66"/>
            <w:noWrap/>
            <w:vAlign w:val="center"/>
            <w:hideMark/>
          </w:tcPr>
          <w:p w14:paraId="64FE8332" w14:textId="77777777" w:rsidR="00885988" w:rsidRPr="00885988" w:rsidRDefault="00885988" w:rsidP="00885988">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2025</w:t>
            </w:r>
          </w:p>
        </w:tc>
        <w:tc>
          <w:tcPr>
            <w:tcW w:w="1134" w:type="dxa"/>
            <w:shd w:val="clear" w:color="auto" w:fill="BDD6EE" w:themeFill="accent1" w:themeFillTint="66"/>
            <w:noWrap/>
            <w:vAlign w:val="center"/>
            <w:hideMark/>
          </w:tcPr>
          <w:p w14:paraId="12FBF0E1" w14:textId="77777777" w:rsidR="00885988" w:rsidRPr="00885988" w:rsidRDefault="00885988" w:rsidP="00885988">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2026</w:t>
            </w:r>
          </w:p>
        </w:tc>
      </w:tr>
      <w:tr w:rsidR="00726B8F" w:rsidRPr="00885988" w14:paraId="484C980D" w14:textId="77777777" w:rsidTr="006D3285">
        <w:trPr>
          <w:trHeight w:val="225"/>
        </w:trPr>
        <w:tc>
          <w:tcPr>
            <w:tcW w:w="2263" w:type="dxa"/>
            <w:shd w:val="clear" w:color="auto" w:fill="DEEAF6" w:themeFill="accent1" w:themeFillTint="33"/>
            <w:noWrap/>
            <w:vAlign w:val="center"/>
            <w:hideMark/>
          </w:tcPr>
          <w:p w14:paraId="58B648ED" w14:textId="77777777" w:rsidR="00726B8F" w:rsidRPr="00885988" w:rsidRDefault="00726B8F" w:rsidP="00726B8F">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Investičné náklady</w:t>
            </w:r>
          </w:p>
        </w:tc>
        <w:tc>
          <w:tcPr>
            <w:tcW w:w="1276" w:type="dxa"/>
            <w:shd w:val="clear" w:color="auto" w:fill="auto"/>
            <w:noWrap/>
            <w:vAlign w:val="center"/>
            <w:hideMark/>
          </w:tcPr>
          <w:p w14:paraId="641883B0" w14:textId="539F941A" w:rsidR="00726B8F" w:rsidRPr="00EF1CB7" w:rsidRDefault="00726B8F" w:rsidP="006D3285">
            <w:pPr>
              <w:spacing w:before="0" w:after="0" w:line="240" w:lineRule="auto"/>
              <w:jc w:val="right"/>
              <w:rPr>
                <w:rFonts w:asciiTheme="minorHAnsi" w:hAnsiTheme="minorHAnsi" w:cstheme="minorHAnsi"/>
                <w:sz w:val="18"/>
                <w:szCs w:val="18"/>
              </w:rPr>
            </w:pPr>
            <w:r w:rsidRPr="0034023A">
              <w:rPr>
                <w:rFonts w:cs="Arial"/>
                <w:sz w:val="16"/>
                <w:szCs w:val="16"/>
              </w:rPr>
              <w:t xml:space="preserve">3 011 853 </w:t>
            </w:r>
          </w:p>
        </w:tc>
        <w:tc>
          <w:tcPr>
            <w:tcW w:w="1134" w:type="dxa"/>
            <w:shd w:val="clear" w:color="auto" w:fill="auto"/>
            <w:noWrap/>
            <w:vAlign w:val="center"/>
            <w:hideMark/>
          </w:tcPr>
          <w:p w14:paraId="1B80DDBE" w14:textId="5341203B"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3 011 853</w:t>
            </w:r>
          </w:p>
        </w:tc>
        <w:tc>
          <w:tcPr>
            <w:tcW w:w="1134" w:type="dxa"/>
            <w:shd w:val="clear" w:color="auto" w:fill="auto"/>
            <w:noWrap/>
            <w:vAlign w:val="center"/>
            <w:hideMark/>
          </w:tcPr>
          <w:p w14:paraId="39C77D98" w14:textId="047E5B18"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c>
          <w:tcPr>
            <w:tcW w:w="1134" w:type="dxa"/>
            <w:shd w:val="clear" w:color="auto" w:fill="auto"/>
            <w:noWrap/>
            <w:vAlign w:val="center"/>
            <w:hideMark/>
          </w:tcPr>
          <w:p w14:paraId="3529F335" w14:textId="7E794B28"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c>
          <w:tcPr>
            <w:tcW w:w="1134" w:type="dxa"/>
            <w:shd w:val="clear" w:color="auto" w:fill="auto"/>
            <w:noWrap/>
            <w:vAlign w:val="center"/>
            <w:hideMark/>
          </w:tcPr>
          <w:p w14:paraId="2563FA91" w14:textId="0E453A84"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c>
          <w:tcPr>
            <w:tcW w:w="1134" w:type="dxa"/>
            <w:shd w:val="clear" w:color="auto" w:fill="auto"/>
            <w:noWrap/>
            <w:vAlign w:val="center"/>
            <w:hideMark/>
          </w:tcPr>
          <w:p w14:paraId="07905D01" w14:textId="10E28C88"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r>
      <w:tr w:rsidR="00726B8F" w:rsidRPr="00885988" w14:paraId="012052C2" w14:textId="77777777" w:rsidTr="006D3285">
        <w:trPr>
          <w:trHeight w:val="225"/>
        </w:trPr>
        <w:tc>
          <w:tcPr>
            <w:tcW w:w="2263" w:type="dxa"/>
            <w:shd w:val="clear" w:color="auto" w:fill="DEEAF6" w:themeFill="accent1" w:themeFillTint="33"/>
            <w:noWrap/>
            <w:vAlign w:val="center"/>
            <w:hideMark/>
          </w:tcPr>
          <w:p w14:paraId="3D71F667" w14:textId="77777777" w:rsidR="00726B8F" w:rsidRPr="00885988" w:rsidRDefault="00726B8F" w:rsidP="00726B8F">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Prevádzkové náklady</w:t>
            </w:r>
          </w:p>
        </w:tc>
        <w:tc>
          <w:tcPr>
            <w:tcW w:w="1276" w:type="dxa"/>
            <w:shd w:val="clear" w:color="auto" w:fill="auto"/>
            <w:noWrap/>
            <w:vAlign w:val="center"/>
            <w:hideMark/>
          </w:tcPr>
          <w:p w14:paraId="5806926D" w14:textId="5E36082F"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 xml:space="preserve">347 795 101 </w:t>
            </w:r>
          </w:p>
        </w:tc>
        <w:tc>
          <w:tcPr>
            <w:tcW w:w="1134" w:type="dxa"/>
            <w:shd w:val="clear" w:color="auto" w:fill="auto"/>
            <w:noWrap/>
            <w:vAlign w:val="center"/>
            <w:hideMark/>
          </w:tcPr>
          <w:p w14:paraId="0F2C449B" w14:textId="59E4D78D"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70 756 050</w:t>
            </w:r>
          </w:p>
        </w:tc>
        <w:tc>
          <w:tcPr>
            <w:tcW w:w="1134" w:type="dxa"/>
            <w:shd w:val="clear" w:color="auto" w:fill="auto"/>
            <w:noWrap/>
            <w:vAlign w:val="center"/>
            <w:hideMark/>
          </w:tcPr>
          <w:p w14:paraId="30509C17" w14:textId="3B2E2C51"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61 634 374</w:t>
            </w:r>
          </w:p>
        </w:tc>
        <w:tc>
          <w:tcPr>
            <w:tcW w:w="1134" w:type="dxa"/>
            <w:shd w:val="clear" w:color="auto" w:fill="auto"/>
            <w:noWrap/>
            <w:vAlign w:val="center"/>
            <w:hideMark/>
          </w:tcPr>
          <w:p w14:paraId="1F80F786" w14:textId="7566EF12"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60 986 585</w:t>
            </w:r>
          </w:p>
        </w:tc>
        <w:tc>
          <w:tcPr>
            <w:tcW w:w="1134" w:type="dxa"/>
            <w:shd w:val="clear" w:color="auto" w:fill="auto"/>
            <w:noWrap/>
            <w:vAlign w:val="center"/>
            <w:hideMark/>
          </w:tcPr>
          <w:p w14:paraId="31A48900" w14:textId="08EE88F8"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60 988 659</w:t>
            </w:r>
          </w:p>
        </w:tc>
        <w:tc>
          <w:tcPr>
            <w:tcW w:w="1134" w:type="dxa"/>
            <w:shd w:val="clear" w:color="auto" w:fill="auto"/>
            <w:noWrap/>
            <w:vAlign w:val="center"/>
            <w:hideMark/>
          </w:tcPr>
          <w:p w14:paraId="10289D1E" w14:textId="42093649"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61 277 556</w:t>
            </w:r>
          </w:p>
        </w:tc>
      </w:tr>
      <w:tr w:rsidR="00726B8F" w:rsidRPr="00885988" w14:paraId="51D8A97D" w14:textId="77777777" w:rsidTr="006D3285">
        <w:trPr>
          <w:trHeight w:val="225"/>
        </w:trPr>
        <w:tc>
          <w:tcPr>
            <w:tcW w:w="2263" w:type="dxa"/>
            <w:shd w:val="clear" w:color="auto" w:fill="BDD6EE" w:themeFill="accent1" w:themeFillTint="66"/>
            <w:noWrap/>
            <w:vAlign w:val="center"/>
            <w:hideMark/>
          </w:tcPr>
          <w:p w14:paraId="7311324A" w14:textId="77777777" w:rsidR="00726B8F" w:rsidRPr="00885988" w:rsidRDefault="00726B8F" w:rsidP="00726B8F">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Celkové náklady</w:t>
            </w:r>
          </w:p>
        </w:tc>
        <w:tc>
          <w:tcPr>
            <w:tcW w:w="1276" w:type="dxa"/>
            <w:shd w:val="clear" w:color="auto" w:fill="BDD6EE" w:themeFill="accent1" w:themeFillTint="66"/>
            <w:noWrap/>
            <w:vAlign w:val="center"/>
            <w:hideMark/>
          </w:tcPr>
          <w:p w14:paraId="75C338C4" w14:textId="76745E17" w:rsidR="00726B8F" w:rsidRPr="00EF1CB7" w:rsidRDefault="00726B8F" w:rsidP="006D3285">
            <w:pPr>
              <w:spacing w:before="0" w:after="0" w:line="240" w:lineRule="auto"/>
              <w:jc w:val="right"/>
              <w:rPr>
                <w:rFonts w:asciiTheme="minorHAnsi" w:hAnsiTheme="minorHAnsi" w:cstheme="minorHAnsi"/>
                <w:b/>
                <w:bCs/>
                <w:sz w:val="18"/>
                <w:szCs w:val="18"/>
              </w:rPr>
            </w:pPr>
            <w:r w:rsidRPr="0059066B">
              <w:rPr>
                <w:rFonts w:cs="Arial"/>
                <w:b/>
                <w:bCs/>
                <w:sz w:val="16"/>
                <w:szCs w:val="16"/>
              </w:rPr>
              <w:t>350 806 953</w:t>
            </w:r>
          </w:p>
        </w:tc>
        <w:tc>
          <w:tcPr>
            <w:tcW w:w="1134" w:type="dxa"/>
            <w:shd w:val="clear" w:color="auto" w:fill="BDD6EE" w:themeFill="accent1" w:themeFillTint="66"/>
            <w:noWrap/>
            <w:vAlign w:val="center"/>
            <w:hideMark/>
          </w:tcPr>
          <w:p w14:paraId="5D65A905" w14:textId="694A94CF" w:rsidR="00726B8F" w:rsidRPr="00EF1CB7" w:rsidRDefault="00726B8F" w:rsidP="006D3285">
            <w:pPr>
              <w:spacing w:before="0" w:after="0" w:line="240" w:lineRule="auto"/>
              <w:jc w:val="right"/>
              <w:rPr>
                <w:rFonts w:asciiTheme="minorHAnsi" w:hAnsiTheme="minorHAnsi" w:cstheme="minorHAnsi"/>
                <w:b/>
                <w:bCs/>
                <w:sz w:val="18"/>
                <w:szCs w:val="18"/>
              </w:rPr>
            </w:pPr>
            <w:r w:rsidRPr="0059066B">
              <w:rPr>
                <w:rFonts w:cs="Arial"/>
                <w:b/>
                <w:bCs/>
                <w:sz w:val="16"/>
                <w:szCs w:val="16"/>
              </w:rPr>
              <w:t>73 767 903</w:t>
            </w:r>
          </w:p>
        </w:tc>
        <w:tc>
          <w:tcPr>
            <w:tcW w:w="1134" w:type="dxa"/>
            <w:shd w:val="clear" w:color="auto" w:fill="BDD6EE" w:themeFill="accent1" w:themeFillTint="66"/>
            <w:noWrap/>
            <w:vAlign w:val="center"/>
            <w:hideMark/>
          </w:tcPr>
          <w:p w14:paraId="2011FB5C" w14:textId="6D3BBE29" w:rsidR="00726B8F" w:rsidRPr="00EF1CB7" w:rsidRDefault="00726B8F" w:rsidP="006D3285">
            <w:pPr>
              <w:spacing w:before="0" w:after="0" w:line="240" w:lineRule="auto"/>
              <w:jc w:val="right"/>
              <w:rPr>
                <w:rFonts w:asciiTheme="minorHAnsi" w:hAnsiTheme="minorHAnsi" w:cstheme="minorHAnsi"/>
                <w:b/>
                <w:bCs/>
                <w:sz w:val="18"/>
                <w:szCs w:val="18"/>
              </w:rPr>
            </w:pPr>
            <w:r w:rsidRPr="0059066B">
              <w:rPr>
                <w:rFonts w:cs="Arial"/>
                <w:b/>
                <w:bCs/>
                <w:sz w:val="16"/>
                <w:szCs w:val="16"/>
              </w:rPr>
              <w:t>61 634 374</w:t>
            </w:r>
          </w:p>
        </w:tc>
        <w:tc>
          <w:tcPr>
            <w:tcW w:w="1134" w:type="dxa"/>
            <w:shd w:val="clear" w:color="auto" w:fill="BDD6EE" w:themeFill="accent1" w:themeFillTint="66"/>
            <w:noWrap/>
            <w:vAlign w:val="center"/>
            <w:hideMark/>
          </w:tcPr>
          <w:p w14:paraId="6CE4CA64" w14:textId="27FB197E" w:rsidR="00726B8F" w:rsidRPr="00EF1CB7" w:rsidRDefault="00726B8F" w:rsidP="006D3285">
            <w:pPr>
              <w:spacing w:before="0" w:after="0" w:line="240" w:lineRule="auto"/>
              <w:jc w:val="right"/>
              <w:rPr>
                <w:rFonts w:asciiTheme="minorHAnsi" w:hAnsiTheme="minorHAnsi" w:cstheme="minorHAnsi"/>
                <w:b/>
                <w:bCs/>
                <w:sz w:val="18"/>
                <w:szCs w:val="18"/>
              </w:rPr>
            </w:pPr>
            <w:r w:rsidRPr="0059066B">
              <w:rPr>
                <w:rFonts w:cs="Arial"/>
                <w:b/>
                <w:bCs/>
                <w:sz w:val="16"/>
                <w:szCs w:val="16"/>
              </w:rPr>
              <w:t>60 986 585</w:t>
            </w:r>
          </w:p>
        </w:tc>
        <w:tc>
          <w:tcPr>
            <w:tcW w:w="1134" w:type="dxa"/>
            <w:shd w:val="clear" w:color="auto" w:fill="BDD6EE" w:themeFill="accent1" w:themeFillTint="66"/>
            <w:noWrap/>
            <w:vAlign w:val="center"/>
            <w:hideMark/>
          </w:tcPr>
          <w:p w14:paraId="20355398" w14:textId="670DAE25" w:rsidR="00726B8F" w:rsidRPr="00EF1CB7" w:rsidRDefault="00726B8F" w:rsidP="006D3285">
            <w:pPr>
              <w:spacing w:before="0" w:after="0" w:line="240" w:lineRule="auto"/>
              <w:jc w:val="right"/>
              <w:rPr>
                <w:rFonts w:asciiTheme="minorHAnsi" w:hAnsiTheme="minorHAnsi" w:cstheme="minorHAnsi"/>
                <w:b/>
                <w:bCs/>
                <w:sz w:val="18"/>
                <w:szCs w:val="18"/>
              </w:rPr>
            </w:pPr>
            <w:r w:rsidRPr="0059066B">
              <w:rPr>
                <w:rFonts w:cs="Arial"/>
                <w:b/>
                <w:bCs/>
                <w:sz w:val="16"/>
                <w:szCs w:val="16"/>
              </w:rPr>
              <w:t>60 988 659</w:t>
            </w:r>
          </w:p>
        </w:tc>
        <w:tc>
          <w:tcPr>
            <w:tcW w:w="1134" w:type="dxa"/>
            <w:shd w:val="clear" w:color="auto" w:fill="BDD6EE" w:themeFill="accent1" w:themeFillTint="66"/>
            <w:noWrap/>
            <w:vAlign w:val="center"/>
            <w:hideMark/>
          </w:tcPr>
          <w:p w14:paraId="38D4AC09" w14:textId="12DEA433" w:rsidR="00726B8F" w:rsidRPr="00EF1CB7" w:rsidRDefault="00726B8F" w:rsidP="006D3285">
            <w:pPr>
              <w:spacing w:before="0" w:after="0" w:line="240" w:lineRule="auto"/>
              <w:jc w:val="right"/>
              <w:rPr>
                <w:rFonts w:asciiTheme="minorHAnsi" w:hAnsiTheme="minorHAnsi" w:cstheme="minorHAnsi"/>
                <w:b/>
                <w:bCs/>
                <w:sz w:val="18"/>
                <w:szCs w:val="18"/>
              </w:rPr>
            </w:pPr>
            <w:r w:rsidRPr="0059066B">
              <w:rPr>
                <w:rFonts w:cs="Arial"/>
                <w:b/>
                <w:bCs/>
                <w:sz w:val="16"/>
                <w:szCs w:val="16"/>
              </w:rPr>
              <w:t>61 277 556</w:t>
            </w:r>
          </w:p>
        </w:tc>
      </w:tr>
      <w:tr w:rsidR="00F6764A" w:rsidRPr="00885988" w14:paraId="74028F60" w14:textId="77777777" w:rsidTr="006D3285">
        <w:trPr>
          <w:trHeight w:val="225"/>
        </w:trPr>
        <w:tc>
          <w:tcPr>
            <w:tcW w:w="2263" w:type="dxa"/>
            <w:shd w:val="clear" w:color="auto" w:fill="DEEAF6" w:themeFill="accent1" w:themeFillTint="33"/>
            <w:noWrap/>
            <w:vAlign w:val="center"/>
            <w:hideMark/>
          </w:tcPr>
          <w:p w14:paraId="7FEB008A"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Príjmy z výberu mýta</w:t>
            </w:r>
          </w:p>
        </w:tc>
        <w:tc>
          <w:tcPr>
            <w:tcW w:w="1276" w:type="dxa"/>
            <w:shd w:val="clear" w:color="auto" w:fill="auto"/>
            <w:noWrap/>
            <w:vAlign w:val="center"/>
            <w:hideMark/>
          </w:tcPr>
          <w:p w14:paraId="7580B00E" w14:textId="324D86D5" w:rsidR="00F6764A" w:rsidRPr="00EF1CB7" w:rsidRDefault="00F6764A" w:rsidP="00F6764A">
            <w:pPr>
              <w:spacing w:before="0" w:after="0" w:line="240" w:lineRule="auto"/>
              <w:jc w:val="right"/>
              <w:rPr>
                <w:rFonts w:asciiTheme="minorHAnsi" w:hAnsiTheme="minorHAnsi" w:cstheme="minorHAnsi"/>
                <w:sz w:val="18"/>
                <w:szCs w:val="18"/>
              </w:rPr>
            </w:pPr>
            <w:r w:rsidRPr="00725576">
              <w:rPr>
                <w:rFonts w:cs="Arial"/>
                <w:sz w:val="16"/>
                <w:szCs w:val="16"/>
              </w:rPr>
              <w:t>1 367 204 998</w:t>
            </w:r>
          </w:p>
        </w:tc>
        <w:tc>
          <w:tcPr>
            <w:tcW w:w="1134" w:type="dxa"/>
            <w:shd w:val="clear" w:color="auto" w:fill="auto"/>
            <w:noWrap/>
            <w:vAlign w:val="center"/>
            <w:hideMark/>
          </w:tcPr>
          <w:p w14:paraId="64EF0816" w14:textId="633A6BF3" w:rsidR="00F6764A" w:rsidRPr="00EF1CB7" w:rsidRDefault="00F6764A" w:rsidP="00F6764A">
            <w:pPr>
              <w:spacing w:before="0" w:after="0" w:line="240" w:lineRule="auto"/>
              <w:jc w:val="right"/>
              <w:rPr>
                <w:rFonts w:asciiTheme="minorHAnsi" w:hAnsiTheme="minorHAnsi" w:cstheme="minorHAnsi"/>
                <w:sz w:val="18"/>
                <w:szCs w:val="18"/>
              </w:rPr>
            </w:pPr>
            <w:r w:rsidRPr="00725576">
              <w:rPr>
                <w:rFonts w:cs="Arial"/>
                <w:sz w:val="16"/>
                <w:szCs w:val="16"/>
              </w:rPr>
              <w:t>233 655 755</w:t>
            </w:r>
          </w:p>
        </w:tc>
        <w:tc>
          <w:tcPr>
            <w:tcW w:w="1134" w:type="dxa"/>
            <w:shd w:val="clear" w:color="auto" w:fill="auto"/>
            <w:noWrap/>
            <w:vAlign w:val="center"/>
            <w:hideMark/>
          </w:tcPr>
          <w:p w14:paraId="41162FB3" w14:textId="534C298F" w:rsidR="00F6764A" w:rsidRPr="00EF1CB7" w:rsidRDefault="00F6764A" w:rsidP="00F6764A">
            <w:pPr>
              <w:spacing w:before="0" w:after="0" w:line="240" w:lineRule="auto"/>
              <w:jc w:val="right"/>
              <w:rPr>
                <w:rFonts w:asciiTheme="minorHAnsi" w:hAnsiTheme="minorHAnsi" w:cstheme="minorHAnsi"/>
                <w:sz w:val="18"/>
                <w:szCs w:val="18"/>
              </w:rPr>
            </w:pPr>
            <w:r w:rsidRPr="00725576">
              <w:rPr>
                <w:rFonts w:cs="Arial"/>
                <w:sz w:val="16"/>
                <w:szCs w:val="16"/>
              </w:rPr>
              <w:t>245 504 057</w:t>
            </w:r>
          </w:p>
        </w:tc>
        <w:tc>
          <w:tcPr>
            <w:tcW w:w="1134" w:type="dxa"/>
            <w:shd w:val="clear" w:color="auto" w:fill="auto"/>
            <w:noWrap/>
            <w:vAlign w:val="center"/>
            <w:hideMark/>
          </w:tcPr>
          <w:p w14:paraId="0B30BB99" w14:textId="2BE33C73" w:rsidR="00F6764A" w:rsidRPr="00EF1CB7" w:rsidRDefault="00F6764A" w:rsidP="00F6764A">
            <w:pPr>
              <w:spacing w:before="0" w:after="0" w:line="240" w:lineRule="auto"/>
              <w:jc w:val="right"/>
              <w:rPr>
                <w:rFonts w:asciiTheme="minorHAnsi" w:hAnsiTheme="minorHAnsi" w:cstheme="minorHAnsi"/>
                <w:sz w:val="18"/>
                <w:szCs w:val="18"/>
              </w:rPr>
            </w:pPr>
            <w:r w:rsidRPr="00725576">
              <w:rPr>
                <w:rFonts w:cs="Arial"/>
                <w:sz w:val="16"/>
                <w:szCs w:val="16"/>
              </w:rPr>
              <w:t>248 712 141</w:t>
            </w:r>
          </w:p>
        </w:tc>
        <w:tc>
          <w:tcPr>
            <w:tcW w:w="1134" w:type="dxa"/>
            <w:shd w:val="clear" w:color="auto" w:fill="auto"/>
            <w:noWrap/>
            <w:vAlign w:val="center"/>
            <w:hideMark/>
          </w:tcPr>
          <w:p w14:paraId="6799A0B1" w14:textId="4792D807" w:rsidR="00F6764A" w:rsidRPr="00EF1CB7" w:rsidRDefault="00F6764A" w:rsidP="00F6764A">
            <w:pPr>
              <w:spacing w:before="0" w:after="0" w:line="240" w:lineRule="auto"/>
              <w:jc w:val="right"/>
              <w:rPr>
                <w:rFonts w:asciiTheme="minorHAnsi" w:hAnsiTheme="minorHAnsi" w:cstheme="minorHAnsi"/>
                <w:sz w:val="18"/>
                <w:szCs w:val="18"/>
              </w:rPr>
            </w:pPr>
            <w:r w:rsidRPr="00725576">
              <w:rPr>
                <w:rFonts w:cs="Arial"/>
                <w:sz w:val="16"/>
                <w:szCs w:val="16"/>
              </w:rPr>
              <w:t>251 653 366</w:t>
            </w:r>
          </w:p>
        </w:tc>
        <w:tc>
          <w:tcPr>
            <w:tcW w:w="1134" w:type="dxa"/>
            <w:shd w:val="clear" w:color="auto" w:fill="auto"/>
            <w:noWrap/>
            <w:vAlign w:val="center"/>
            <w:hideMark/>
          </w:tcPr>
          <w:p w14:paraId="0BB6846A" w14:textId="67764C9F" w:rsidR="00F6764A" w:rsidRPr="00EF1CB7" w:rsidRDefault="00F6764A" w:rsidP="00F6764A">
            <w:pPr>
              <w:spacing w:before="0" w:after="0" w:line="240" w:lineRule="auto"/>
              <w:jc w:val="right"/>
              <w:rPr>
                <w:rFonts w:asciiTheme="minorHAnsi" w:hAnsiTheme="minorHAnsi" w:cstheme="minorHAnsi"/>
                <w:sz w:val="18"/>
                <w:szCs w:val="18"/>
              </w:rPr>
            </w:pPr>
            <w:r w:rsidRPr="00725576">
              <w:rPr>
                <w:rFonts w:cs="Arial"/>
                <w:sz w:val="16"/>
                <w:szCs w:val="16"/>
              </w:rPr>
              <w:t>255 239 016</w:t>
            </w:r>
          </w:p>
        </w:tc>
      </w:tr>
      <w:tr w:rsidR="00F6764A" w:rsidRPr="00885988" w14:paraId="54F64DA9" w14:textId="77777777" w:rsidTr="006D3285">
        <w:trPr>
          <w:trHeight w:val="225"/>
        </w:trPr>
        <w:tc>
          <w:tcPr>
            <w:tcW w:w="2263" w:type="dxa"/>
            <w:shd w:val="clear" w:color="auto" w:fill="DEEAF6" w:themeFill="accent1" w:themeFillTint="33"/>
            <w:noWrap/>
            <w:vAlign w:val="center"/>
            <w:hideMark/>
          </w:tcPr>
          <w:p w14:paraId="214350E9"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času</w:t>
            </w:r>
          </w:p>
        </w:tc>
        <w:tc>
          <w:tcPr>
            <w:tcW w:w="1276" w:type="dxa"/>
            <w:shd w:val="clear" w:color="auto" w:fill="auto"/>
            <w:noWrap/>
            <w:vAlign w:val="center"/>
            <w:hideMark/>
          </w:tcPr>
          <w:p w14:paraId="2E83B803" w14:textId="406665E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xml:space="preserve">4 435 192 </w:t>
            </w:r>
          </w:p>
        </w:tc>
        <w:tc>
          <w:tcPr>
            <w:tcW w:w="1134" w:type="dxa"/>
            <w:shd w:val="clear" w:color="auto" w:fill="auto"/>
            <w:noWrap/>
            <w:vAlign w:val="center"/>
            <w:hideMark/>
          </w:tcPr>
          <w:p w14:paraId="0E371BDE" w14:textId="3360F9BC"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171 007</w:t>
            </w:r>
          </w:p>
        </w:tc>
        <w:tc>
          <w:tcPr>
            <w:tcW w:w="1134" w:type="dxa"/>
            <w:shd w:val="clear" w:color="auto" w:fill="auto"/>
            <w:noWrap/>
            <w:vAlign w:val="center"/>
            <w:hideMark/>
          </w:tcPr>
          <w:p w14:paraId="7334BFC7" w14:textId="2A59637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357 176</w:t>
            </w:r>
          </w:p>
        </w:tc>
        <w:tc>
          <w:tcPr>
            <w:tcW w:w="1134" w:type="dxa"/>
            <w:shd w:val="clear" w:color="auto" w:fill="auto"/>
            <w:noWrap/>
            <w:vAlign w:val="center"/>
            <w:hideMark/>
          </w:tcPr>
          <w:p w14:paraId="49AE34F8" w14:textId="4249684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745 249</w:t>
            </w:r>
          </w:p>
        </w:tc>
        <w:tc>
          <w:tcPr>
            <w:tcW w:w="1134" w:type="dxa"/>
            <w:shd w:val="clear" w:color="auto" w:fill="auto"/>
            <w:noWrap/>
            <w:vAlign w:val="center"/>
            <w:hideMark/>
          </w:tcPr>
          <w:p w14:paraId="3B32FBB7" w14:textId="15315CE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1 164 482</w:t>
            </w:r>
          </w:p>
        </w:tc>
        <w:tc>
          <w:tcPr>
            <w:tcW w:w="1134" w:type="dxa"/>
            <w:shd w:val="clear" w:color="auto" w:fill="auto"/>
            <w:noWrap/>
            <w:vAlign w:val="center"/>
            <w:hideMark/>
          </w:tcPr>
          <w:p w14:paraId="2DEF6B5B" w14:textId="21C5FB3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1 414 620</w:t>
            </w:r>
          </w:p>
        </w:tc>
      </w:tr>
      <w:tr w:rsidR="00F6764A" w:rsidRPr="00885988" w14:paraId="7288127C" w14:textId="77777777" w:rsidTr="006D3285">
        <w:trPr>
          <w:trHeight w:val="225"/>
        </w:trPr>
        <w:tc>
          <w:tcPr>
            <w:tcW w:w="2263" w:type="dxa"/>
            <w:shd w:val="clear" w:color="auto" w:fill="DEEAF6" w:themeFill="accent1" w:themeFillTint="33"/>
            <w:noWrap/>
            <w:vAlign w:val="center"/>
            <w:hideMark/>
          </w:tcPr>
          <w:p w14:paraId="080E30CD"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prevádzkových nákladov vozidiel</w:t>
            </w:r>
          </w:p>
        </w:tc>
        <w:tc>
          <w:tcPr>
            <w:tcW w:w="1276" w:type="dxa"/>
            <w:shd w:val="clear" w:color="auto" w:fill="auto"/>
            <w:noWrap/>
            <w:vAlign w:val="center"/>
            <w:hideMark/>
          </w:tcPr>
          <w:p w14:paraId="2372EB3C" w14:textId="434312A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xml:space="preserve">0 </w:t>
            </w:r>
          </w:p>
        </w:tc>
        <w:tc>
          <w:tcPr>
            <w:tcW w:w="1134" w:type="dxa"/>
            <w:shd w:val="clear" w:color="auto" w:fill="auto"/>
            <w:noWrap/>
            <w:vAlign w:val="center"/>
            <w:hideMark/>
          </w:tcPr>
          <w:p w14:paraId="0AB73092" w14:textId="7F3011F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30CF075D" w14:textId="722E4DD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115A48B7" w14:textId="756DA0A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4FA4445C" w14:textId="09B8F54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6BDF59E2" w14:textId="17A62060"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r>
      <w:tr w:rsidR="00F6764A" w:rsidRPr="00885988" w14:paraId="404E1A1C" w14:textId="77777777" w:rsidTr="006D3285">
        <w:trPr>
          <w:trHeight w:val="225"/>
        </w:trPr>
        <w:tc>
          <w:tcPr>
            <w:tcW w:w="2263" w:type="dxa"/>
            <w:shd w:val="clear" w:color="auto" w:fill="DEEAF6" w:themeFill="accent1" w:themeFillTint="33"/>
            <w:noWrap/>
            <w:vAlign w:val="center"/>
            <w:hideMark/>
          </w:tcPr>
          <w:p w14:paraId="693A01BA"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na nehodovosti</w:t>
            </w:r>
          </w:p>
        </w:tc>
        <w:tc>
          <w:tcPr>
            <w:tcW w:w="1276" w:type="dxa"/>
            <w:shd w:val="clear" w:color="auto" w:fill="auto"/>
            <w:noWrap/>
            <w:vAlign w:val="center"/>
            <w:hideMark/>
          </w:tcPr>
          <w:p w14:paraId="71611EF3" w14:textId="5B34C137"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xml:space="preserve">0 </w:t>
            </w:r>
          </w:p>
        </w:tc>
        <w:tc>
          <w:tcPr>
            <w:tcW w:w="1134" w:type="dxa"/>
            <w:shd w:val="clear" w:color="auto" w:fill="auto"/>
            <w:noWrap/>
            <w:vAlign w:val="center"/>
            <w:hideMark/>
          </w:tcPr>
          <w:p w14:paraId="35ED3D13" w14:textId="11E5399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694CD1D9" w14:textId="21E025B0"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431B6AC4" w14:textId="2F1288C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0DDBC17D" w14:textId="751560A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429A9B8C" w14:textId="502AC3C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r>
      <w:tr w:rsidR="00F6764A" w:rsidRPr="00885988" w14:paraId="299A8821" w14:textId="77777777" w:rsidTr="006D3285">
        <w:trPr>
          <w:trHeight w:val="225"/>
        </w:trPr>
        <w:tc>
          <w:tcPr>
            <w:tcW w:w="2263" w:type="dxa"/>
            <w:shd w:val="clear" w:color="auto" w:fill="DEEAF6" w:themeFill="accent1" w:themeFillTint="33"/>
            <w:noWrap/>
            <w:vAlign w:val="center"/>
            <w:hideMark/>
          </w:tcPr>
          <w:p w14:paraId="0F4C6C42"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na externalitách</w:t>
            </w:r>
          </w:p>
        </w:tc>
        <w:tc>
          <w:tcPr>
            <w:tcW w:w="1276" w:type="dxa"/>
            <w:shd w:val="clear" w:color="auto" w:fill="auto"/>
            <w:noWrap/>
            <w:vAlign w:val="center"/>
            <w:hideMark/>
          </w:tcPr>
          <w:p w14:paraId="01E1C96B" w14:textId="13A4CD8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xml:space="preserve">0 </w:t>
            </w:r>
          </w:p>
        </w:tc>
        <w:tc>
          <w:tcPr>
            <w:tcW w:w="1134" w:type="dxa"/>
            <w:shd w:val="clear" w:color="auto" w:fill="auto"/>
            <w:noWrap/>
            <w:vAlign w:val="center"/>
            <w:hideMark/>
          </w:tcPr>
          <w:p w14:paraId="4DF8AC24" w14:textId="346CBA8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57F0C99B" w14:textId="4A3BF59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4B7318B3" w14:textId="7949EFC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19875941" w14:textId="247FC50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7877DE5D" w14:textId="54B5CE5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r>
      <w:tr w:rsidR="00F6764A" w:rsidRPr="00885988" w14:paraId="380943D4" w14:textId="77777777" w:rsidTr="006D3285">
        <w:trPr>
          <w:trHeight w:val="225"/>
        </w:trPr>
        <w:tc>
          <w:tcPr>
            <w:tcW w:w="2263" w:type="dxa"/>
            <w:shd w:val="clear" w:color="auto" w:fill="BDD6EE" w:themeFill="accent1" w:themeFillTint="66"/>
            <w:noWrap/>
            <w:vAlign w:val="center"/>
            <w:hideMark/>
          </w:tcPr>
          <w:p w14:paraId="286514A9" w14:textId="77777777" w:rsidR="00F6764A" w:rsidRPr="00885988" w:rsidRDefault="00F6764A" w:rsidP="00F6764A">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Celkové prínosy</w:t>
            </w:r>
          </w:p>
        </w:tc>
        <w:tc>
          <w:tcPr>
            <w:tcW w:w="1276" w:type="dxa"/>
            <w:shd w:val="clear" w:color="auto" w:fill="BDD6EE" w:themeFill="accent1" w:themeFillTint="66"/>
            <w:noWrap/>
            <w:vAlign w:val="center"/>
            <w:hideMark/>
          </w:tcPr>
          <w:p w14:paraId="48D6537D" w14:textId="5DB9E008"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 xml:space="preserve">1 371 640 189 </w:t>
            </w:r>
          </w:p>
        </w:tc>
        <w:tc>
          <w:tcPr>
            <w:tcW w:w="1134" w:type="dxa"/>
            <w:shd w:val="clear" w:color="auto" w:fill="BDD6EE" w:themeFill="accent1" w:themeFillTint="66"/>
            <w:noWrap/>
            <w:vAlign w:val="center"/>
            <w:hideMark/>
          </w:tcPr>
          <w:p w14:paraId="614DAFCF" w14:textId="3ED4797C"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233 826 761</w:t>
            </w:r>
          </w:p>
        </w:tc>
        <w:tc>
          <w:tcPr>
            <w:tcW w:w="1134" w:type="dxa"/>
            <w:shd w:val="clear" w:color="auto" w:fill="BDD6EE" w:themeFill="accent1" w:themeFillTint="66"/>
            <w:noWrap/>
            <w:vAlign w:val="center"/>
            <w:hideMark/>
          </w:tcPr>
          <w:p w14:paraId="7C5E8A63" w14:textId="78455712"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245 861 233</w:t>
            </w:r>
          </w:p>
        </w:tc>
        <w:tc>
          <w:tcPr>
            <w:tcW w:w="1134" w:type="dxa"/>
            <w:shd w:val="clear" w:color="auto" w:fill="BDD6EE" w:themeFill="accent1" w:themeFillTint="66"/>
            <w:noWrap/>
            <w:vAlign w:val="center"/>
            <w:hideMark/>
          </w:tcPr>
          <w:p w14:paraId="51EFF146" w14:textId="172A4341"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249 457 390</w:t>
            </w:r>
          </w:p>
        </w:tc>
        <w:tc>
          <w:tcPr>
            <w:tcW w:w="1134" w:type="dxa"/>
            <w:shd w:val="clear" w:color="auto" w:fill="BDD6EE" w:themeFill="accent1" w:themeFillTint="66"/>
            <w:noWrap/>
            <w:vAlign w:val="center"/>
            <w:hideMark/>
          </w:tcPr>
          <w:p w14:paraId="7D07E743" w14:textId="4B62D5E0"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252 817 848</w:t>
            </w:r>
          </w:p>
        </w:tc>
        <w:tc>
          <w:tcPr>
            <w:tcW w:w="1134" w:type="dxa"/>
            <w:shd w:val="clear" w:color="auto" w:fill="BDD6EE" w:themeFill="accent1" w:themeFillTint="66"/>
            <w:noWrap/>
            <w:vAlign w:val="center"/>
            <w:hideMark/>
          </w:tcPr>
          <w:p w14:paraId="333FF791" w14:textId="29B3D43C"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256 653 636</w:t>
            </w:r>
          </w:p>
        </w:tc>
      </w:tr>
      <w:tr w:rsidR="00F6764A" w:rsidRPr="00885988" w14:paraId="52916E2E" w14:textId="77777777" w:rsidTr="006D3285">
        <w:trPr>
          <w:trHeight w:val="225"/>
        </w:trPr>
        <w:tc>
          <w:tcPr>
            <w:tcW w:w="2263" w:type="dxa"/>
            <w:shd w:val="clear" w:color="auto" w:fill="DEEAF6" w:themeFill="accent1" w:themeFillTint="33"/>
            <w:noWrap/>
            <w:vAlign w:val="center"/>
            <w:hideMark/>
          </w:tcPr>
          <w:p w14:paraId="567BE0CC"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Zostatková hodnota</w:t>
            </w:r>
          </w:p>
        </w:tc>
        <w:tc>
          <w:tcPr>
            <w:tcW w:w="1276" w:type="dxa"/>
            <w:shd w:val="clear" w:color="auto" w:fill="auto"/>
            <w:noWrap/>
            <w:vAlign w:val="center"/>
            <w:hideMark/>
          </w:tcPr>
          <w:p w14:paraId="696BE892" w14:textId="72E1BDD0"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xml:space="preserve">0 </w:t>
            </w:r>
          </w:p>
        </w:tc>
        <w:tc>
          <w:tcPr>
            <w:tcW w:w="1134" w:type="dxa"/>
            <w:shd w:val="clear" w:color="auto" w:fill="auto"/>
            <w:noWrap/>
            <w:vAlign w:val="center"/>
            <w:hideMark/>
          </w:tcPr>
          <w:p w14:paraId="6BC6098B" w14:textId="593BC15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276917E7" w14:textId="6475B65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05C6BCE2" w14:textId="12E22D1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3448D3EA" w14:textId="09E85EE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 </w:t>
            </w:r>
          </w:p>
        </w:tc>
        <w:tc>
          <w:tcPr>
            <w:tcW w:w="1134" w:type="dxa"/>
            <w:shd w:val="clear" w:color="auto" w:fill="auto"/>
            <w:noWrap/>
            <w:vAlign w:val="center"/>
            <w:hideMark/>
          </w:tcPr>
          <w:p w14:paraId="68F6791E" w14:textId="328DFA2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r>
      <w:tr w:rsidR="00F6764A" w:rsidRPr="00885988" w14:paraId="13D9CED3" w14:textId="77777777" w:rsidTr="006D3285">
        <w:trPr>
          <w:trHeight w:val="225"/>
        </w:trPr>
        <w:tc>
          <w:tcPr>
            <w:tcW w:w="2263" w:type="dxa"/>
            <w:shd w:val="clear" w:color="auto" w:fill="BDD6EE" w:themeFill="accent1" w:themeFillTint="66"/>
            <w:noWrap/>
            <w:vAlign w:val="center"/>
            <w:hideMark/>
          </w:tcPr>
          <w:p w14:paraId="303CC556" w14:textId="77777777" w:rsidR="00F6764A" w:rsidRPr="00885988" w:rsidRDefault="00F6764A" w:rsidP="00F6764A">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Čisté peňažné toky</w:t>
            </w:r>
          </w:p>
        </w:tc>
        <w:tc>
          <w:tcPr>
            <w:tcW w:w="1276" w:type="dxa"/>
            <w:shd w:val="clear" w:color="auto" w:fill="BDD6EE" w:themeFill="accent1" w:themeFillTint="66"/>
            <w:noWrap/>
            <w:vAlign w:val="center"/>
            <w:hideMark/>
          </w:tcPr>
          <w:p w14:paraId="266B39ED" w14:textId="0BC22DB1"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 xml:space="preserve">1 020 833 236 </w:t>
            </w:r>
          </w:p>
        </w:tc>
        <w:tc>
          <w:tcPr>
            <w:tcW w:w="1134" w:type="dxa"/>
            <w:shd w:val="clear" w:color="auto" w:fill="BDD6EE" w:themeFill="accent1" w:themeFillTint="66"/>
            <w:noWrap/>
            <w:vAlign w:val="center"/>
            <w:hideMark/>
          </w:tcPr>
          <w:p w14:paraId="7A9A1016" w14:textId="335FA762"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160 058 859</w:t>
            </w:r>
          </w:p>
        </w:tc>
        <w:tc>
          <w:tcPr>
            <w:tcW w:w="1134" w:type="dxa"/>
            <w:shd w:val="clear" w:color="auto" w:fill="BDD6EE" w:themeFill="accent1" w:themeFillTint="66"/>
            <w:noWrap/>
            <w:vAlign w:val="center"/>
            <w:hideMark/>
          </w:tcPr>
          <w:p w14:paraId="036817C7" w14:textId="77A52A66"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184 226 860</w:t>
            </w:r>
          </w:p>
        </w:tc>
        <w:tc>
          <w:tcPr>
            <w:tcW w:w="1134" w:type="dxa"/>
            <w:shd w:val="clear" w:color="auto" w:fill="BDD6EE" w:themeFill="accent1" w:themeFillTint="66"/>
            <w:noWrap/>
            <w:vAlign w:val="center"/>
            <w:hideMark/>
          </w:tcPr>
          <w:p w14:paraId="4B64E377" w14:textId="1658760E"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188 470 805</w:t>
            </w:r>
          </w:p>
        </w:tc>
        <w:tc>
          <w:tcPr>
            <w:tcW w:w="1134" w:type="dxa"/>
            <w:shd w:val="clear" w:color="auto" w:fill="BDD6EE" w:themeFill="accent1" w:themeFillTint="66"/>
            <w:noWrap/>
            <w:vAlign w:val="center"/>
            <w:hideMark/>
          </w:tcPr>
          <w:p w14:paraId="78773294" w14:textId="5AB5B93F"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191 829 189</w:t>
            </w:r>
          </w:p>
        </w:tc>
        <w:tc>
          <w:tcPr>
            <w:tcW w:w="1134" w:type="dxa"/>
            <w:shd w:val="clear" w:color="auto" w:fill="BDD6EE" w:themeFill="accent1" w:themeFillTint="66"/>
            <w:noWrap/>
            <w:vAlign w:val="center"/>
            <w:hideMark/>
          </w:tcPr>
          <w:p w14:paraId="0FDC5C9E" w14:textId="08908EA4"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195 376 081</w:t>
            </w:r>
          </w:p>
        </w:tc>
      </w:tr>
    </w:tbl>
    <w:p w14:paraId="58051230" w14:textId="77777777" w:rsidR="00885988" w:rsidRPr="00A40297" w:rsidRDefault="00885988">
      <w:pPr>
        <w:rPr>
          <w:sz w:val="10"/>
        </w:rPr>
      </w:pPr>
    </w:p>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4673"/>
        <w:gridCol w:w="4536"/>
      </w:tblGrid>
      <w:tr w:rsidR="00F6764A" w:rsidRPr="00885988" w14:paraId="78061C6A" w14:textId="77777777" w:rsidTr="00366F12">
        <w:trPr>
          <w:trHeight w:val="240"/>
        </w:trPr>
        <w:tc>
          <w:tcPr>
            <w:tcW w:w="4673" w:type="dxa"/>
            <w:shd w:val="clear" w:color="auto" w:fill="DEEAF6" w:themeFill="accent1" w:themeFillTint="33"/>
            <w:noWrap/>
            <w:vAlign w:val="bottom"/>
            <w:hideMark/>
          </w:tcPr>
          <w:p w14:paraId="2B0F396B" w14:textId="77777777" w:rsidR="00F6764A" w:rsidRPr="00885988" w:rsidRDefault="00F6764A" w:rsidP="00F6764A">
            <w:pPr>
              <w:spacing w:before="0" w:after="0" w:line="240" w:lineRule="auto"/>
              <w:jc w:val="left"/>
              <w:rPr>
                <w:rFonts w:cs="Arial"/>
                <w:sz w:val="16"/>
                <w:szCs w:val="16"/>
              </w:rPr>
            </w:pPr>
            <w:r w:rsidRPr="00885988">
              <w:rPr>
                <w:rFonts w:cs="Arial"/>
                <w:sz w:val="16"/>
                <w:szCs w:val="16"/>
              </w:rPr>
              <w:t>Ekonomická čistá súčasná hodnota investície (ENPV)</w:t>
            </w:r>
          </w:p>
        </w:tc>
        <w:tc>
          <w:tcPr>
            <w:tcW w:w="4536" w:type="dxa"/>
            <w:vAlign w:val="bottom"/>
          </w:tcPr>
          <w:p w14:paraId="66E1C910" w14:textId="0F47746B"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 xml:space="preserve">793 244 988 Eur </w:t>
            </w:r>
          </w:p>
        </w:tc>
      </w:tr>
      <w:tr w:rsidR="00F6764A" w:rsidRPr="00885988" w14:paraId="441A5164" w14:textId="77777777" w:rsidTr="00366F12">
        <w:trPr>
          <w:trHeight w:val="240"/>
        </w:trPr>
        <w:tc>
          <w:tcPr>
            <w:tcW w:w="4673" w:type="dxa"/>
            <w:shd w:val="clear" w:color="auto" w:fill="DEEAF6" w:themeFill="accent1" w:themeFillTint="33"/>
            <w:noWrap/>
            <w:vAlign w:val="bottom"/>
            <w:hideMark/>
          </w:tcPr>
          <w:p w14:paraId="1D7CF96F" w14:textId="77777777" w:rsidR="00F6764A" w:rsidRPr="00885988" w:rsidRDefault="00F6764A" w:rsidP="00F6764A">
            <w:pPr>
              <w:spacing w:before="0" w:after="0" w:line="240" w:lineRule="auto"/>
              <w:jc w:val="left"/>
              <w:rPr>
                <w:rFonts w:cs="Arial"/>
                <w:sz w:val="16"/>
                <w:szCs w:val="16"/>
              </w:rPr>
            </w:pPr>
            <w:r w:rsidRPr="00885988">
              <w:rPr>
                <w:rFonts w:cs="Arial"/>
                <w:sz w:val="16"/>
                <w:szCs w:val="16"/>
              </w:rPr>
              <w:t>Ekonomická vnútorná miera návratnosti (EIRR)</w:t>
            </w:r>
          </w:p>
        </w:tc>
        <w:tc>
          <w:tcPr>
            <w:tcW w:w="4536" w:type="dxa"/>
            <w:vAlign w:val="bottom"/>
          </w:tcPr>
          <w:p w14:paraId="26925FDB" w14:textId="4349F6FA"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5427,05 %</w:t>
            </w:r>
          </w:p>
        </w:tc>
      </w:tr>
      <w:tr w:rsidR="00F6764A" w:rsidRPr="00885988" w14:paraId="379BC7EB" w14:textId="77777777" w:rsidTr="00366F12">
        <w:trPr>
          <w:trHeight w:val="240"/>
        </w:trPr>
        <w:tc>
          <w:tcPr>
            <w:tcW w:w="4673" w:type="dxa"/>
            <w:shd w:val="clear" w:color="auto" w:fill="DEEAF6" w:themeFill="accent1" w:themeFillTint="33"/>
            <w:noWrap/>
            <w:vAlign w:val="bottom"/>
            <w:hideMark/>
          </w:tcPr>
          <w:p w14:paraId="40B14364" w14:textId="6843C9E8" w:rsidR="00F6764A" w:rsidRPr="00885988" w:rsidRDefault="00F6764A" w:rsidP="00F6764A">
            <w:pPr>
              <w:spacing w:before="0" w:after="0" w:line="240" w:lineRule="auto"/>
              <w:jc w:val="left"/>
              <w:rPr>
                <w:rFonts w:cs="Arial"/>
                <w:sz w:val="16"/>
                <w:szCs w:val="16"/>
              </w:rPr>
            </w:pPr>
            <w:r>
              <w:rPr>
                <w:rFonts w:cs="Arial"/>
                <w:sz w:val="16"/>
                <w:szCs w:val="16"/>
              </w:rPr>
              <w:t>Nákladová efektívnosť, ekonomická (</w:t>
            </w:r>
            <w:r w:rsidRPr="00885988">
              <w:rPr>
                <w:rFonts w:cs="Arial"/>
                <w:sz w:val="16"/>
                <w:szCs w:val="16"/>
              </w:rPr>
              <w:t>B/C</w:t>
            </w:r>
            <w:r>
              <w:rPr>
                <w:rFonts w:cs="Arial"/>
                <w:sz w:val="16"/>
                <w:szCs w:val="16"/>
              </w:rPr>
              <w:t>)</w:t>
            </w:r>
          </w:p>
        </w:tc>
        <w:tc>
          <w:tcPr>
            <w:tcW w:w="4536" w:type="dxa"/>
            <w:vAlign w:val="bottom"/>
          </w:tcPr>
          <w:p w14:paraId="769E905A" w14:textId="0794A0F4"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 xml:space="preserve">3,91 </w:t>
            </w:r>
          </w:p>
        </w:tc>
      </w:tr>
    </w:tbl>
    <w:p w14:paraId="45C1EDDA" w14:textId="1E1DA35E" w:rsidR="002302CC" w:rsidRDefault="002302CC" w:rsidP="002302CC">
      <w:pPr>
        <w:rPr>
          <w:i/>
          <w:sz w:val="16"/>
        </w:rPr>
      </w:pPr>
      <w:r w:rsidRPr="00DA4343">
        <w:rPr>
          <w:i/>
          <w:sz w:val="16"/>
        </w:rPr>
        <w:t xml:space="preserve">Zdroj: Príloha 1, hárok </w:t>
      </w:r>
      <w:r>
        <w:rPr>
          <w:i/>
          <w:sz w:val="16"/>
        </w:rPr>
        <w:t>11</w:t>
      </w:r>
    </w:p>
    <w:p w14:paraId="6BB054D6" w14:textId="77777777" w:rsidR="004C1394" w:rsidRDefault="004C1394" w:rsidP="004E0519"/>
    <w:p w14:paraId="4DB57EDB" w14:textId="12DAB722" w:rsidR="0019208F" w:rsidRDefault="0019208F" w:rsidP="004E0519">
      <w:r>
        <w:t>Ekonomická nákladová efektívnosť projektu implementácie EETS v navrhovanom variant</w:t>
      </w:r>
      <w:r w:rsidR="00A90887">
        <w:t>e</w:t>
      </w:r>
      <w:r>
        <w:t xml:space="preserve"> </w:t>
      </w:r>
      <w:r w:rsidR="00DD56D5">
        <w:t xml:space="preserve">1 </w:t>
      </w:r>
      <w:r>
        <w:t>je pri uvažovaní modelových parametrov, najmä predpokladanom medziročnom rast</w:t>
      </w:r>
      <w:r w:rsidR="00A90887">
        <w:t>e</w:t>
      </w:r>
      <w:r>
        <w:t xml:space="preserve"> podielu poskytovateľov EETS na výbere mýta</w:t>
      </w:r>
      <w:r w:rsidR="00A90887">
        <w:t>,</w:t>
      </w:r>
      <w:r>
        <w:t xml:space="preserve"> rovná 3,</w:t>
      </w:r>
      <w:r w:rsidR="00F6764A">
        <w:t>91</w:t>
      </w:r>
      <w:r>
        <w:t xml:space="preserve">. To znamená, že zavedením projektu dôjde k zvýšeniu nákladovej efektívnosti Komplexnej služby elektronického výberu mýta </w:t>
      </w:r>
      <w:r w:rsidR="005A69EE">
        <w:t>o </w:t>
      </w:r>
      <w:r w:rsidR="00DD56D5">
        <w:t>1</w:t>
      </w:r>
      <w:r w:rsidR="005A69EE">
        <w:t>,</w:t>
      </w:r>
      <w:r w:rsidR="00F6764A">
        <w:t xml:space="preserve">16 </w:t>
      </w:r>
      <w:r w:rsidR="005A69EE">
        <w:t xml:space="preserve">bodov </w:t>
      </w:r>
      <w:r>
        <w:t>oproti priemernej hodnote 2,75 za uplynulých 5 rokov prevádzky.</w:t>
      </w:r>
    </w:p>
    <w:p w14:paraId="020EFB3A" w14:textId="05DA3E8C" w:rsidR="004E0519" w:rsidRDefault="0019208F" w:rsidP="004E0519">
      <w:r>
        <w:t xml:space="preserve">Výsledky ekonomickej analýzy potvrdzujú, že projekt implementácie EETS je </w:t>
      </w:r>
      <w:r w:rsidR="00DD56D5">
        <w:t>možn</w:t>
      </w:r>
      <w:r w:rsidR="00090490">
        <w:t>é</w:t>
      </w:r>
      <w:r w:rsidR="00DD56D5">
        <w:t xml:space="preserve"> </w:t>
      </w:r>
      <w:r>
        <w:t>realizovať v navrhovanom variant</w:t>
      </w:r>
      <w:r w:rsidR="00A90887">
        <w:t>e</w:t>
      </w:r>
      <w:r>
        <w:t xml:space="preserve"> </w:t>
      </w:r>
      <w:r w:rsidR="00DD56D5">
        <w:t>1</w:t>
      </w:r>
      <w:r>
        <w:t xml:space="preserve">. </w:t>
      </w:r>
    </w:p>
    <w:p w14:paraId="27F325AB" w14:textId="77777777" w:rsidR="00090490" w:rsidRDefault="00090490" w:rsidP="004E0519"/>
    <w:p w14:paraId="7D46CD3B" w14:textId="209E2DF8" w:rsidR="0095790F" w:rsidRPr="00355791" w:rsidRDefault="0095790F" w:rsidP="0095790F">
      <w:pPr>
        <w:pStyle w:val="Heading2"/>
      </w:pPr>
      <w:bookmarkStart w:id="175" w:name="_Toc87348765"/>
      <w:r>
        <w:t xml:space="preserve">Ekonomická analýza – Variant </w:t>
      </w:r>
      <w:r w:rsidR="00090490">
        <w:t>2</w:t>
      </w:r>
      <w:bookmarkEnd w:id="175"/>
    </w:p>
    <w:p w14:paraId="2645E5BA" w14:textId="77777777" w:rsidR="005A7D49" w:rsidRDefault="005A7D49" w:rsidP="00A40297">
      <w:pPr>
        <w:pStyle w:val="Heading3"/>
      </w:pPr>
      <w:bookmarkStart w:id="176" w:name="_Toc74323989"/>
      <w:bookmarkStart w:id="177" w:name="_Toc74324118"/>
      <w:bookmarkStart w:id="178" w:name="_Toc74324230"/>
      <w:bookmarkStart w:id="179" w:name="_Toc74324342"/>
      <w:bookmarkStart w:id="180" w:name="_Toc74324453"/>
      <w:bookmarkStart w:id="181" w:name="_Toc74324563"/>
      <w:bookmarkStart w:id="182" w:name="_Toc74324672"/>
      <w:bookmarkStart w:id="183" w:name="_Toc74324780"/>
      <w:bookmarkStart w:id="184" w:name="_Toc87348766"/>
      <w:bookmarkEnd w:id="176"/>
      <w:bookmarkEnd w:id="177"/>
      <w:bookmarkEnd w:id="178"/>
      <w:bookmarkEnd w:id="179"/>
      <w:bookmarkEnd w:id="180"/>
      <w:bookmarkEnd w:id="181"/>
      <w:bookmarkEnd w:id="182"/>
      <w:bookmarkEnd w:id="183"/>
      <w:r>
        <w:t>Investičné náklady – ekonomické</w:t>
      </w:r>
      <w:bookmarkEnd w:id="184"/>
      <w:r>
        <w:t xml:space="preserve"> </w:t>
      </w:r>
    </w:p>
    <w:p w14:paraId="628AD893" w14:textId="77777777" w:rsidR="005A7D49" w:rsidRDefault="005A7D49" w:rsidP="005A7D49">
      <w:r w:rsidRPr="00355791">
        <w:t>Ekonomické investičné náklady sú stanovené s pomocou konverzných faktorov pre technológiu a</w:t>
      </w:r>
      <w:r>
        <w:t> </w:t>
      </w:r>
      <w:r w:rsidRPr="00355791">
        <w:t>zariadenia, pre technickú pomoc a projektové riadenie</w:t>
      </w:r>
      <w:r>
        <w:t xml:space="preserve"> (iné služby) boli aplikované konverzné faktory „projektovanie“</w:t>
      </w:r>
      <w:r w:rsidRPr="00355791">
        <w:t>.</w:t>
      </w:r>
    </w:p>
    <w:p w14:paraId="03A36E9A" w14:textId="0DAE6FB4"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57</w:t>
      </w:r>
      <w:r>
        <w:fldChar w:fldCharType="end"/>
      </w:r>
      <w:r>
        <w:t xml:space="preserve"> - Investičné náklady - ekonomické</w:t>
      </w:r>
    </w:p>
    <w:tbl>
      <w:tblPr>
        <w:tblW w:w="9219"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266"/>
        <w:gridCol w:w="992"/>
        <w:gridCol w:w="992"/>
        <w:gridCol w:w="992"/>
        <w:gridCol w:w="992"/>
        <w:gridCol w:w="992"/>
        <w:gridCol w:w="993"/>
      </w:tblGrid>
      <w:tr w:rsidR="005A7D49" w:rsidRPr="00AD32AA" w14:paraId="330C08CC" w14:textId="77777777" w:rsidTr="00A40297">
        <w:trPr>
          <w:trHeight w:val="225"/>
          <w:tblHeader/>
        </w:trPr>
        <w:tc>
          <w:tcPr>
            <w:tcW w:w="3266" w:type="dxa"/>
            <w:tcBorders>
              <w:top w:val="single" w:sz="4" w:space="0" w:color="7F7F7F" w:themeColor="text1" w:themeTint="80"/>
            </w:tcBorders>
            <w:shd w:val="clear" w:color="auto" w:fill="BDD6EE" w:themeFill="accent1" w:themeFillTint="66"/>
            <w:noWrap/>
            <w:vAlign w:val="center"/>
            <w:hideMark/>
          </w:tcPr>
          <w:p w14:paraId="2FD6AC57" w14:textId="77777777" w:rsidR="005A7D49" w:rsidRPr="00C0001C" w:rsidRDefault="005A7D49" w:rsidP="00C81C52">
            <w:pPr>
              <w:spacing w:before="0" w:after="0" w:line="240" w:lineRule="auto"/>
              <w:jc w:val="left"/>
              <w:rPr>
                <w:rFonts w:asciiTheme="minorHAnsi" w:hAnsiTheme="minorHAnsi" w:cs="Arial"/>
                <w:b/>
                <w:bCs/>
                <w:sz w:val="18"/>
                <w:szCs w:val="18"/>
              </w:rPr>
            </w:pPr>
            <w:r w:rsidRPr="00C0001C">
              <w:rPr>
                <w:rFonts w:asciiTheme="minorHAnsi" w:hAnsiTheme="minorHAnsi" w:cs="Arial"/>
                <w:b/>
                <w:bCs/>
                <w:sz w:val="18"/>
                <w:szCs w:val="18"/>
              </w:rPr>
              <w:t>1.2 Investičné náklady (EUR) - ekonomické</w:t>
            </w:r>
          </w:p>
        </w:tc>
        <w:tc>
          <w:tcPr>
            <w:tcW w:w="992" w:type="dxa"/>
            <w:tcBorders>
              <w:top w:val="single" w:sz="4" w:space="0" w:color="7F7F7F" w:themeColor="text1" w:themeTint="80"/>
            </w:tcBorders>
            <w:shd w:val="clear" w:color="auto" w:fill="BDD6EE" w:themeFill="accent1" w:themeFillTint="66"/>
            <w:noWrap/>
            <w:vAlign w:val="center"/>
            <w:hideMark/>
          </w:tcPr>
          <w:p w14:paraId="599E4764" w14:textId="77777777" w:rsidR="005A7D49" w:rsidRPr="00180F09" w:rsidRDefault="005A7D49" w:rsidP="005A7D49">
            <w:pPr>
              <w:spacing w:before="0" w:after="0" w:line="240" w:lineRule="auto"/>
              <w:jc w:val="center"/>
              <w:rPr>
                <w:rFonts w:asciiTheme="minorHAnsi" w:hAnsiTheme="minorHAnsi" w:cs="Arial"/>
                <w:bCs/>
                <w:sz w:val="18"/>
                <w:szCs w:val="18"/>
              </w:rPr>
            </w:pPr>
            <w:r w:rsidRPr="00180F09">
              <w:rPr>
                <w:rFonts w:asciiTheme="minorHAnsi" w:hAnsiTheme="minorHAnsi" w:cs="Arial"/>
                <w:bCs/>
                <w:sz w:val="18"/>
                <w:szCs w:val="18"/>
              </w:rPr>
              <w:t>Celkom</w:t>
            </w:r>
          </w:p>
        </w:tc>
        <w:tc>
          <w:tcPr>
            <w:tcW w:w="992" w:type="dxa"/>
            <w:tcBorders>
              <w:top w:val="single" w:sz="4" w:space="0" w:color="7F7F7F" w:themeColor="text1" w:themeTint="80"/>
            </w:tcBorders>
            <w:shd w:val="clear" w:color="auto" w:fill="BDD6EE" w:themeFill="accent1" w:themeFillTint="66"/>
            <w:noWrap/>
            <w:vAlign w:val="center"/>
            <w:hideMark/>
          </w:tcPr>
          <w:p w14:paraId="2825B39A" w14:textId="77777777" w:rsidR="005A7D49" w:rsidRPr="00180F09" w:rsidRDefault="005A7D49" w:rsidP="005A7D49">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2022</w:t>
            </w:r>
          </w:p>
        </w:tc>
        <w:tc>
          <w:tcPr>
            <w:tcW w:w="992" w:type="dxa"/>
            <w:shd w:val="clear" w:color="auto" w:fill="BDD6EE" w:themeFill="accent1" w:themeFillTint="66"/>
            <w:noWrap/>
            <w:vAlign w:val="center"/>
            <w:hideMark/>
          </w:tcPr>
          <w:p w14:paraId="4967E07B" w14:textId="77777777" w:rsidR="005A7D49" w:rsidRPr="00180F09" w:rsidRDefault="005A7D49" w:rsidP="005A7D49">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2023</w:t>
            </w:r>
          </w:p>
        </w:tc>
        <w:tc>
          <w:tcPr>
            <w:tcW w:w="992" w:type="dxa"/>
            <w:shd w:val="clear" w:color="auto" w:fill="BDD6EE" w:themeFill="accent1" w:themeFillTint="66"/>
            <w:noWrap/>
            <w:vAlign w:val="center"/>
            <w:hideMark/>
          </w:tcPr>
          <w:p w14:paraId="311B97BD" w14:textId="77777777" w:rsidR="005A7D49" w:rsidRPr="00180F09" w:rsidRDefault="005A7D49" w:rsidP="005A7D49">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2024</w:t>
            </w:r>
          </w:p>
        </w:tc>
        <w:tc>
          <w:tcPr>
            <w:tcW w:w="992" w:type="dxa"/>
            <w:shd w:val="clear" w:color="auto" w:fill="BDD6EE" w:themeFill="accent1" w:themeFillTint="66"/>
            <w:noWrap/>
            <w:vAlign w:val="center"/>
            <w:hideMark/>
          </w:tcPr>
          <w:p w14:paraId="0A990B53" w14:textId="77777777" w:rsidR="005A7D49" w:rsidRPr="00180F09" w:rsidRDefault="005A7D49" w:rsidP="005A7D49">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2025</w:t>
            </w:r>
          </w:p>
        </w:tc>
        <w:tc>
          <w:tcPr>
            <w:tcW w:w="993" w:type="dxa"/>
            <w:shd w:val="clear" w:color="auto" w:fill="BDD6EE" w:themeFill="accent1" w:themeFillTint="66"/>
            <w:noWrap/>
            <w:vAlign w:val="center"/>
            <w:hideMark/>
          </w:tcPr>
          <w:p w14:paraId="2C542494" w14:textId="77777777" w:rsidR="005A7D49" w:rsidRPr="00180F09" w:rsidRDefault="005A7D49" w:rsidP="005A7D49">
            <w:pPr>
              <w:spacing w:before="0" w:after="0" w:line="240" w:lineRule="auto"/>
              <w:jc w:val="center"/>
              <w:rPr>
                <w:rFonts w:asciiTheme="minorHAnsi" w:hAnsiTheme="minorHAnsi" w:cs="Arial"/>
                <w:iCs/>
                <w:sz w:val="18"/>
                <w:szCs w:val="18"/>
              </w:rPr>
            </w:pPr>
            <w:r w:rsidRPr="00180F09">
              <w:rPr>
                <w:rFonts w:asciiTheme="minorHAnsi" w:hAnsiTheme="minorHAnsi" w:cs="Arial"/>
                <w:iCs/>
                <w:sz w:val="18"/>
                <w:szCs w:val="18"/>
              </w:rPr>
              <w:t>2026</w:t>
            </w:r>
          </w:p>
        </w:tc>
      </w:tr>
      <w:tr w:rsidR="005A7D49" w:rsidRPr="00C0001C" w14:paraId="39D3A05B" w14:textId="77777777" w:rsidTr="00A40297">
        <w:trPr>
          <w:trHeight w:val="225"/>
        </w:trPr>
        <w:tc>
          <w:tcPr>
            <w:tcW w:w="3266" w:type="dxa"/>
            <w:shd w:val="clear" w:color="auto" w:fill="DEEAF6" w:themeFill="accent1" w:themeFillTint="33"/>
            <w:noWrap/>
            <w:vAlign w:val="center"/>
            <w:hideMark/>
          </w:tcPr>
          <w:p w14:paraId="6FBA5B70" w14:textId="77777777" w:rsidR="005A7D49" w:rsidRPr="00C0001C" w:rsidRDefault="005A7D49" w:rsidP="00C81C52">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Plánovacie/projektové poplatky</w:t>
            </w:r>
          </w:p>
        </w:tc>
        <w:tc>
          <w:tcPr>
            <w:tcW w:w="992" w:type="dxa"/>
            <w:shd w:val="clear" w:color="auto" w:fill="auto"/>
            <w:noWrap/>
            <w:vAlign w:val="center"/>
            <w:hideMark/>
          </w:tcPr>
          <w:p w14:paraId="5B52D604"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13E93AE3"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7584CB5C"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027A91C5"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3336E418"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5BD94908"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5A7D49" w:rsidRPr="00C0001C" w14:paraId="2BF74C35" w14:textId="77777777" w:rsidTr="00A40297">
        <w:trPr>
          <w:trHeight w:val="225"/>
        </w:trPr>
        <w:tc>
          <w:tcPr>
            <w:tcW w:w="3266" w:type="dxa"/>
            <w:shd w:val="clear" w:color="auto" w:fill="DEEAF6" w:themeFill="accent1" w:themeFillTint="33"/>
            <w:noWrap/>
            <w:vAlign w:val="center"/>
            <w:hideMark/>
          </w:tcPr>
          <w:p w14:paraId="06BBA4D8" w14:textId="77777777" w:rsidR="005A7D49" w:rsidRPr="00C0001C" w:rsidRDefault="005A7D49" w:rsidP="00C81C52">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Výkup pozemkov</w:t>
            </w:r>
          </w:p>
        </w:tc>
        <w:tc>
          <w:tcPr>
            <w:tcW w:w="992" w:type="dxa"/>
            <w:shd w:val="clear" w:color="auto" w:fill="auto"/>
            <w:noWrap/>
            <w:vAlign w:val="center"/>
            <w:hideMark/>
          </w:tcPr>
          <w:p w14:paraId="67AFA784"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58BA63DE"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01963197"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79F91D95"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4F0D204"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05B5D69F"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5A7D49" w:rsidRPr="00C0001C" w14:paraId="6BFCA216" w14:textId="77777777" w:rsidTr="00A40297">
        <w:trPr>
          <w:trHeight w:val="225"/>
        </w:trPr>
        <w:tc>
          <w:tcPr>
            <w:tcW w:w="3266" w:type="dxa"/>
            <w:shd w:val="clear" w:color="auto" w:fill="DEEAF6" w:themeFill="accent1" w:themeFillTint="33"/>
            <w:noWrap/>
            <w:vAlign w:val="center"/>
            <w:hideMark/>
          </w:tcPr>
          <w:p w14:paraId="49335ACE" w14:textId="77777777" w:rsidR="005A7D49" w:rsidRPr="00C0001C" w:rsidRDefault="005A7D49" w:rsidP="00C81C52">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Príprava staveniska</w:t>
            </w:r>
          </w:p>
        </w:tc>
        <w:tc>
          <w:tcPr>
            <w:tcW w:w="992" w:type="dxa"/>
            <w:shd w:val="clear" w:color="auto" w:fill="auto"/>
            <w:noWrap/>
            <w:vAlign w:val="center"/>
            <w:hideMark/>
          </w:tcPr>
          <w:p w14:paraId="522F6A99"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001960A7"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89D9DD0"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01BC28C8"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2A753735"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6DD3A8B9"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5A7D49" w:rsidRPr="00C0001C" w14:paraId="0E27350C" w14:textId="77777777" w:rsidTr="00A40297">
        <w:trPr>
          <w:trHeight w:val="225"/>
        </w:trPr>
        <w:tc>
          <w:tcPr>
            <w:tcW w:w="3266" w:type="dxa"/>
            <w:shd w:val="clear" w:color="auto" w:fill="DEEAF6" w:themeFill="accent1" w:themeFillTint="33"/>
            <w:noWrap/>
            <w:vAlign w:val="center"/>
            <w:hideMark/>
          </w:tcPr>
          <w:p w14:paraId="55E320F3" w14:textId="77777777" w:rsidR="005A7D49" w:rsidRPr="00C0001C" w:rsidRDefault="005A7D49" w:rsidP="00C81C52">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Zemné práce</w:t>
            </w:r>
          </w:p>
        </w:tc>
        <w:tc>
          <w:tcPr>
            <w:tcW w:w="992" w:type="dxa"/>
            <w:shd w:val="clear" w:color="auto" w:fill="auto"/>
            <w:noWrap/>
            <w:vAlign w:val="center"/>
            <w:hideMark/>
          </w:tcPr>
          <w:p w14:paraId="0573E6F8"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hideMark/>
          </w:tcPr>
          <w:p w14:paraId="4A705FA8"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54128646"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65B607E4"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13599537"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6EBE1B38"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5A7D49" w:rsidRPr="00C0001C" w14:paraId="7A2DF059" w14:textId="77777777" w:rsidTr="00A40297">
        <w:trPr>
          <w:trHeight w:val="225"/>
        </w:trPr>
        <w:tc>
          <w:tcPr>
            <w:tcW w:w="3266" w:type="dxa"/>
            <w:shd w:val="clear" w:color="auto" w:fill="DEEAF6" w:themeFill="accent1" w:themeFillTint="33"/>
            <w:noWrap/>
            <w:vAlign w:val="center"/>
            <w:hideMark/>
          </w:tcPr>
          <w:p w14:paraId="112AD106" w14:textId="77777777" w:rsidR="005A7D49" w:rsidRPr="00C0001C" w:rsidRDefault="005A7D49" w:rsidP="00C81C52">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Stavebné náklady</w:t>
            </w:r>
          </w:p>
        </w:tc>
        <w:tc>
          <w:tcPr>
            <w:tcW w:w="992" w:type="dxa"/>
            <w:shd w:val="clear" w:color="auto" w:fill="auto"/>
            <w:noWrap/>
            <w:vAlign w:val="center"/>
            <w:hideMark/>
          </w:tcPr>
          <w:p w14:paraId="32A1877B" w14:textId="77777777" w:rsidR="005A7D49" w:rsidRPr="00C0001C" w:rsidRDefault="005A7D49" w:rsidP="00A40297">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0</w:t>
            </w:r>
          </w:p>
        </w:tc>
        <w:tc>
          <w:tcPr>
            <w:tcW w:w="992" w:type="dxa"/>
            <w:shd w:val="clear" w:color="auto" w:fill="auto"/>
            <w:noWrap/>
            <w:vAlign w:val="center"/>
          </w:tcPr>
          <w:p w14:paraId="79D74B47" w14:textId="77777777" w:rsidR="005A7D49" w:rsidRPr="00C0001C" w:rsidRDefault="005A7D49" w:rsidP="00A40297">
            <w:pPr>
              <w:spacing w:before="0" w:after="0" w:line="240" w:lineRule="auto"/>
              <w:jc w:val="right"/>
              <w:rPr>
                <w:rFonts w:asciiTheme="minorHAnsi" w:hAnsiTheme="minorHAnsi" w:cs="Arial"/>
                <w:sz w:val="18"/>
                <w:szCs w:val="18"/>
              </w:rPr>
            </w:pPr>
          </w:p>
        </w:tc>
        <w:tc>
          <w:tcPr>
            <w:tcW w:w="992" w:type="dxa"/>
            <w:shd w:val="clear" w:color="auto" w:fill="auto"/>
            <w:noWrap/>
            <w:vAlign w:val="center"/>
          </w:tcPr>
          <w:p w14:paraId="536FDB94" w14:textId="77777777" w:rsidR="005A7D49" w:rsidRPr="00C0001C" w:rsidRDefault="005A7D49" w:rsidP="00A40297">
            <w:pPr>
              <w:spacing w:before="0" w:after="0" w:line="240" w:lineRule="auto"/>
              <w:jc w:val="right"/>
              <w:rPr>
                <w:rFonts w:asciiTheme="minorHAnsi" w:hAnsiTheme="minorHAnsi" w:cs="Arial"/>
                <w:sz w:val="18"/>
                <w:szCs w:val="18"/>
              </w:rPr>
            </w:pPr>
          </w:p>
        </w:tc>
        <w:tc>
          <w:tcPr>
            <w:tcW w:w="992" w:type="dxa"/>
            <w:shd w:val="clear" w:color="auto" w:fill="auto"/>
            <w:noWrap/>
            <w:vAlign w:val="center"/>
          </w:tcPr>
          <w:p w14:paraId="05478F1E" w14:textId="77777777" w:rsidR="005A7D49" w:rsidRPr="00C0001C" w:rsidRDefault="005A7D49" w:rsidP="00A40297">
            <w:pPr>
              <w:spacing w:before="0" w:after="0" w:line="240" w:lineRule="auto"/>
              <w:jc w:val="right"/>
              <w:rPr>
                <w:rFonts w:asciiTheme="minorHAnsi" w:hAnsiTheme="minorHAnsi" w:cs="Arial"/>
                <w:sz w:val="18"/>
                <w:szCs w:val="18"/>
              </w:rPr>
            </w:pPr>
          </w:p>
        </w:tc>
        <w:tc>
          <w:tcPr>
            <w:tcW w:w="992" w:type="dxa"/>
            <w:shd w:val="clear" w:color="auto" w:fill="auto"/>
            <w:noWrap/>
            <w:vAlign w:val="center"/>
          </w:tcPr>
          <w:p w14:paraId="254A16EA" w14:textId="77777777" w:rsidR="005A7D49" w:rsidRPr="00C0001C" w:rsidRDefault="005A7D49" w:rsidP="00A40297">
            <w:pPr>
              <w:spacing w:before="0" w:after="0" w:line="240" w:lineRule="auto"/>
              <w:jc w:val="right"/>
              <w:rPr>
                <w:rFonts w:asciiTheme="minorHAnsi" w:hAnsiTheme="minorHAnsi" w:cs="Arial"/>
                <w:sz w:val="18"/>
                <w:szCs w:val="18"/>
              </w:rPr>
            </w:pPr>
          </w:p>
        </w:tc>
        <w:tc>
          <w:tcPr>
            <w:tcW w:w="993" w:type="dxa"/>
            <w:shd w:val="clear" w:color="auto" w:fill="auto"/>
            <w:noWrap/>
            <w:vAlign w:val="center"/>
          </w:tcPr>
          <w:p w14:paraId="265DDE82" w14:textId="77777777" w:rsidR="005A7D49" w:rsidRPr="00C0001C" w:rsidRDefault="005A7D49" w:rsidP="00A40297">
            <w:pPr>
              <w:spacing w:before="0" w:after="0" w:line="240" w:lineRule="auto"/>
              <w:jc w:val="right"/>
              <w:rPr>
                <w:rFonts w:asciiTheme="minorHAnsi" w:hAnsiTheme="minorHAnsi" w:cs="Arial"/>
                <w:sz w:val="18"/>
                <w:szCs w:val="18"/>
              </w:rPr>
            </w:pPr>
          </w:p>
        </w:tc>
      </w:tr>
      <w:tr w:rsidR="00726B8F" w:rsidRPr="00C0001C" w14:paraId="47E5652E" w14:textId="77777777" w:rsidTr="00EF1CB7">
        <w:trPr>
          <w:trHeight w:val="225"/>
        </w:trPr>
        <w:tc>
          <w:tcPr>
            <w:tcW w:w="3266" w:type="dxa"/>
            <w:shd w:val="clear" w:color="auto" w:fill="DEEAF6" w:themeFill="accent1" w:themeFillTint="33"/>
            <w:noWrap/>
            <w:vAlign w:val="center"/>
            <w:hideMark/>
          </w:tcPr>
          <w:p w14:paraId="4F6A7F57" w14:textId="77777777" w:rsidR="00726B8F" w:rsidRPr="00C0001C" w:rsidRDefault="00726B8F" w:rsidP="00726B8F">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Technológia a zariadenia</w:t>
            </w:r>
          </w:p>
        </w:tc>
        <w:tc>
          <w:tcPr>
            <w:tcW w:w="992" w:type="dxa"/>
            <w:shd w:val="clear" w:color="auto" w:fill="auto"/>
            <w:noWrap/>
            <w:vAlign w:val="center"/>
            <w:hideMark/>
          </w:tcPr>
          <w:p w14:paraId="43A413EF" w14:textId="445803F2" w:rsidR="00726B8F" w:rsidRPr="00EF1CB7" w:rsidRDefault="00726B8F" w:rsidP="00726B8F">
            <w:pPr>
              <w:spacing w:before="0" w:after="0" w:line="240" w:lineRule="auto"/>
              <w:jc w:val="right"/>
              <w:rPr>
                <w:rFonts w:asciiTheme="minorHAnsi" w:hAnsiTheme="minorHAnsi" w:cstheme="minorHAnsi"/>
                <w:sz w:val="18"/>
                <w:szCs w:val="18"/>
              </w:rPr>
            </w:pPr>
            <w:r>
              <w:rPr>
                <w:rFonts w:cs="Arial"/>
                <w:sz w:val="16"/>
                <w:szCs w:val="16"/>
              </w:rPr>
              <w:t>2 859 541</w:t>
            </w:r>
          </w:p>
        </w:tc>
        <w:tc>
          <w:tcPr>
            <w:tcW w:w="992" w:type="dxa"/>
            <w:shd w:val="clear" w:color="auto" w:fill="auto"/>
            <w:noWrap/>
            <w:vAlign w:val="center"/>
            <w:hideMark/>
          </w:tcPr>
          <w:p w14:paraId="089D7DD0" w14:textId="7F9C3772" w:rsidR="00726B8F" w:rsidRPr="00EF1CB7" w:rsidRDefault="00726B8F" w:rsidP="00726B8F">
            <w:pPr>
              <w:spacing w:before="0" w:after="0" w:line="240" w:lineRule="auto"/>
              <w:jc w:val="right"/>
              <w:rPr>
                <w:rFonts w:asciiTheme="minorHAnsi" w:hAnsiTheme="minorHAnsi" w:cstheme="minorHAnsi"/>
                <w:sz w:val="18"/>
                <w:szCs w:val="18"/>
              </w:rPr>
            </w:pPr>
            <w:r>
              <w:rPr>
                <w:rFonts w:cs="Arial"/>
                <w:sz w:val="16"/>
                <w:szCs w:val="16"/>
              </w:rPr>
              <w:t>2 859 541</w:t>
            </w:r>
          </w:p>
        </w:tc>
        <w:tc>
          <w:tcPr>
            <w:tcW w:w="992" w:type="dxa"/>
            <w:shd w:val="clear" w:color="auto" w:fill="auto"/>
            <w:noWrap/>
            <w:vAlign w:val="center"/>
          </w:tcPr>
          <w:p w14:paraId="1CF03AB4" w14:textId="77777777" w:rsidR="00726B8F" w:rsidRPr="00180F09" w:rsidRDefault="00726B8F" w:rsidP="00726B8F">
            <w:pPr>
              <w:spacing w:before="0" w:after="0" w:line="240" w:lineRule="auto"/>
              <w:jc w:val="right"/>
              <w:rPr>
                <w:rFonts w:asciiTheme="minorHAnsi" w:hAnsiTheme="minorHAnsi" w:cs="Arial"/>
                <w:sz w:val="18"/>
                <w:szCs w:val="18"/>
              </w:rPr>
            </w:pPr>
          </w:p>
        </w:tc>
        <w:tc>
          <w:tcPr>
            <w:tcW w:w="992" w:type="dxa"/>
            <w:shd w:val="clear" w:color="auto" w:fill="auto"/>
            <w:noWrap/>
            <w:vAlign w:val="center"/>
            <w:hideMark/>
          </w:tcPr>
          <w:p w14:paraId="4708D053"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382CDE30"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2C54AFB4"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726B8F" w:rsidRPr="00C0001C" w14:paraId="0E004683" w14:textId="77777777" w:rsidTr="00EF1CB7">
        <w:trPr>
          <w:trHeight w:val="225"/>
        </w:trPr>
        <w:tc>
          <w:tcPr>
            <w:tcW w:w="3266" w:type="dxa"/>
            <w:shd w:val="clear" w:color="auto" w:fill="DEEAF6" w:themeFill="accent1" w:themeFillTint="33"/>
            <w:noWrap/>
            <w:vAlign w:val="center"/>
            <w:hideMark/>
          </w:tcPr>
          <w:p w14:paraId="466778EA" w14:textId="77777777" w:rsidR="00726B8F" w:rsidRPr="00C0001C" w:rsidRDefault="00726B8F" w:rsidP="00726B8F">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Dozor</w:t>
            </w:r>
          </w:p>
        </w:tc>
        <w:tc>
          <w:tcPr>
            <w:tcW w:w="992" w:type="dxa"/>
            <w:shd w:val="clear" w:color="auto" w:fill="auto"/>
            <w:noWrap/>
            <w:vAlign w:val="center"/>
            <w:hideMark/>
          </w:tcPr>
          <w:p w14:paraId="0A9695BB" w14:textId="27081D22" w:rsidR="00726B8F" w:rsidRPr="00EF1CB7" w:rsidRDefault="00726B8F" w:rsidP="00726B8F">
            <w:pPr>
              <w:spacing w:before="0" w:after="0" w:line="240" w:lineRule="auto"/>
              <w:jc w:val="right"/>
              <w:rPr>
                <w:rFonts w:asciiTheme="minorHAnsi" w:hAnsiTheme="minorHAnsi" w:cstheme="minorHAnsi"/>
                <w:sz w:val="18"/>
                <w:szCs w:val="18"/>
              </w:rPr>
            </w:pPr>
            <w:r>
              <w:rPr>
                <w:rFonts w:cs="Arial"/>
                <w:sz w:val="16"/>
                <w:szCs w:val="16"/>
              </w:rPr>
              <w:t>0</w:t>
            </w:r>
          </w:p>
        </w:tc>
        <w:tc>
          <w:tcPr>
            <w:tcW w:w="992" w:type="dxa"/>
            <w:shd w:val="clear" w:color="auto" w:fill="auto"/>
            <w:noWrap/>
            <w:vAlign w:val="center"/>
            <w:hideMark/>
          </w:tcPr>
          <w:p w14:paraId="4DFAEFEA" w14:textId="7D52599F" w:rsidR="00726B8F" w:rsidRPr="00EF1CB7" w:rsidRDefault="00726B8F" w:rsidP="00726B8F">
            <w:pPr>
              <w:spacing w:before="0" w:after="0" w:line="240" w:lineRule="auto"/>
              <w:jc w:val="right"/>
              <w:rPr>
                <w:rFonts w:asciiTheme="minorHAnsi" w:hAnsiTheme="minorHAnsi" w:cstheme="minorHAnsi"/>
                <w:sz w:val="18"/>
                <w:szCs w:val="18"/>
              </w:rPr>
            </w:pPr>
            <w:r>
              <w:rPr>
                <w:rFonts w:cs="Arial"/>
                <w:sz w:val="16"/>
                <w:szCs w:val="16"/>
              </w:rPr>
              <w:t>0</w:t>
            </w:r>
          </w:p>
        </w:tc>
        <w:tc>
          <w:tcPr>
            <w:tcW w:w="992" w:type="dxa"/>
            <w:shd w:val="clear" w:color="auto" w:fill="auto"/>
            <w:noWrap/>
            <w:vAlign w:val="center"/>
          </w:tcPr>
          <w:p w14:paraId="2ED2BAB4" w14:textId="77777777" w:rsidR="00726B8F" w:rsidRPr="00180F09" w:rsidRDefault="00726B8F" w:rsidP="00726B8F">
            <w:pPr>
              <w:spacing w:before="0" w:after="0" w:line="240" w:lineRule="auto"/>
              <w:jc w:val="right"/>
              <w:rPr>
                <w:rFonts w:asciiTheme="minorHAnsi" w:hAnsiTheme="minorHAnsi" w:cs="Arial"/>
                <w:sz w:val="18"/>
                <w:szCs w:val="18"/>
              </w:rPr>
            </w:pPr>
          </w:p>
        </w:tc>
        <w:tc>
          <w:tcPr>
            <w:tcW w:w="992" w:type="dxa"/>
            <w:shd w:val="clear" w:color="auto" w:fill="auto"/>
            <w:noWrap/>
            <w:vAlign w:val="center"/>
            <w:hideMark/>
          </w:tcPr>
          <w:p w14:paraId="655144EF"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79CE71D7"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7FF25052"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726B8F" w:rsidRPr="00C0001C" w14:paraId="2035F6A8" w14:textId="77777777" w:rsidTr="00EF1CB7">
        <w:trPr>
          <w:trHeight w:val="225"/>
        </w:trPr>
        <w:tc>
          <w:tcPr>
            <w:tcW w:w="3266" w:type="dxa"/>
            <w:shd w:val="clear" w:color="auto" w:fill="DEEAF6" w:themeFill="accent1" w:themeFillTint="33"/>
            <w:noWrap/>
            <w:vAlign w:val="center"/>
            <w:hideMark/>
          </w:tcPr>
          <w:p w14:paraId="3B9DD8A5" w14:textId="77777777" w:rsidR="00726B8F" w:rsidRPr="00C0001C" w:rsidRDefault="00726B8F" w:rsidP="00726B8F">
            <w:pPr>
              <w:spacing w:before="0" w:after="0" w:line="240" w:lineRule="auto"/>
              <w:jc w:val="left"/>
              <w:rPr>
                <w:rFonts w:asciiTheme="minorHAnsi" w:hAnsiTheme="minorHAnsi" w:cs="Arial"/>
                <w:sz w:val="18"/>
                <w:szCs w:val="18"/>
              </w:rPr>
            </w:pPr>
            <w:r w:rsidRPr="00C0001C">
              <w:rPr>
                <w:rFonts w:asciiTheme="minorHAnsi" w:hAnsiTheme="minorHAnsi" w:cs="Arial"/>
                <w:sz w:val="18"/>
                <w:szCs w:val="18"/>
              </w:rPr>
              <w:t>Iné služby (Technická pomoc, Publicita, Externé riadenie)</w:t>
            </w:r>
          </w:p>
        </w:tc>
        <w:tc>
          <w:tcPr>
            <w:tcW w:w="992" w:type="dxa"/>
            <w:shd w:val="clear" w:color="auto" w:fill="auto"/>
            <w:noWrap/>
            <w:vAlign w:val="center"/>
            <w:hideMark/>
          </w:tcPr>
          <w:p w14:paraId="318D0F9A" w14:textId="5B451269" w:rsidR="00726B8F" w:rsidRPr="00EF1CB7" w:rsidRDefault="00726B8F" w:rsidP="00726B8F">
            <w:pPr>
              <w:spacing w:before="0" w:after="0" w:line="240" w:lineRule="auto"/>
              <w:jc w:val="right"/>
              <w:rPr>
                <w:rFonts w:asciiTheme="minorHAnsi" w:hAnsiTheme="minorHAnsi" w:cstheme="minorHAnsi"/>
                <w:sz w:val="18"/>
                <w:szCs w:val="18"/>
              </w:rPr>
            </w:pPr>
            <w:r>
              <w:rPr>
                <w:rFonts w:cs="Arial"/>
                <w:sz w:val="16"/>
                <w:szCs w:val="16"/>
              </w:rPr>
              <w:t>152 312</w:t>
            </w:r>
          </w:p>
        </w:tc>
        <w:tc>
          <w:tcPr>
            <w:tcW w:w="992" w:type="dxa"/>
            <w:shd w:val="clear" w:color="auto" w:fill="auto"/>
            <w:noWrap/>
            <w:vAlign w:val="center"/>
            <w:hideMark/>
          </w:tcPr>
          <w:p w14:paraId="0B9C62BC" w14:textId="03E0247C" w:rsidR="00726B8F" w:rsidRPr="00EF1CB7" w:rsidRDefault="00726B8F" w:rsidP="00726B8F">
            <w:pPr>
              <w:spacing w:before="0" w:after="0" w:line="240" w:lineRule="auto"/>
              <w:jc w:val="right"/>
              <w:rPr>
                <w:rFonts w:asciiTheme="minorHAnsi" w:hAnsiTheme="minorHAnsi" w:cstheme="minorHAnsi"/>
                <w:sz w:val="18"/>
                <w:szCs w:val="18"/>
              </w:rPr>
            </w:pPr>
            <w:r>
              <w:rPr>
                <w:rFonts w:cs="Arial"/>
                <w:sz w:val="16"/>
                <w:szCs w:val="16"/>
              </w:rPr>
              <w:t>152 312</w:t>
            </w:r>
          </w:p>
        </w:tc>
        <w:tc>
          <w:tcPr>
            <w:tcW w:w="992" w:type="dxa"/>
            <w:shd w:val="clear" w:color="auto" w:fill="auto"/>
            <w:noWrap/>
            <w:vAlign w:val="center"/>
          </w:tcPr>
          <w:p w14:paraId="09848D55" w14:textId="77777777" w:rsidR="00726B8F" w:rsidRPr="00180F09" w:rsidRDefault="00726B8F" w:rsidP="00726B8F">
            <w:pPr>
              <w:spacing w:before="0" w:after="0" w:line="240" w:lineRule="auto"/>
              <w:jc w:val="right"/>
              <w:rPr>
                <w:rFonts w:asciiTheme="minorHAnsi" w:hAnsiTheme="minorHAnsi" w:cs="Arial"/>
                <w:sz w:val="18"/>
                <w:szCs w:val="18"/>
              </w:rPr>
            </w:pPr>
          </w:p>
        </w:tc>
        <w:tc>
          <w:tcPr>
            <w:tcW w:w="992" w:type="dxa"/>
            <w:shd w:val="clear" w:color="auto" w:fill="auto"/>
            <w:noWrap/>
            <w:vAlign w:val="center"/>
            <w:hideMark/>
          </w:tcPr>
          <w:p w14:paraId="3D2EB0D9"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2" w:type="dxa"/>
            <w:shd w:val="clear" w:color="auto" w:fill="auto"/>
            <w:noWrap/>
            <w:vAlign w:val="center"/>
            <w:hideMark/>
          </w:tcPr>
          <w:p w14:paraId="43434CCC"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c>
          <w:tcPr>
            <w:tcW w:w="993" w:type="dxa"/>
            <w:shd w:val="clear" w:color="auto" w:fill="auto"/>
            <w:noWrap/>
            <w:vAlign w:val="center"/>
            <w:hideMark/>
          </w:tcPr>
          <w:p w14:paraId="07E61165" w14:textId="77777777" w:rsidR="00726B8F" w:rsidRPr="00C0001C" w:rsidRDefault="00726B8F" w:rsidP="00726B8F">
            <w:pPr>
              <w:spacing w:before="0" w:after="0" w:line="240" w:lineRule="auto"/>
              <w:jc w:val="right"/>
              <w:rPr>
                <w:rFonts w:asciiTheme="minorHAnsi" w:hAnsiTheme="minorHAnsi" w:cs="Arial"/>
                <w:sz w:val="18"/>
                <w:szCs w:val="18"/>
              </w:rPr>
            </w:pPr>
            <w:r w:rsidRPr="00C0001C">
              <w:rPr>
                <w:rFonts w:asciiTheme="minorHAnsi" w:hAnsiTheme="minorHAnsi" w:cs="Arial"/>
                <w:sz w:val="18"/>
                <w:szCs w:val="18"/>
              </w:rPr>
              <w:t> </w:t>
            </w:r>
          </w:p>
        </w:tc>
      </w:tr>
      <w:tr w:rsidR="00726B8F" w:rsidRPr="00C0001C" w14:paraId="2D08223B" w14:textId="77777777" w:rsidTr="00EF1CB7">
        <w:trPr>
          <w:trHeight w:val="225"/>
        </w:trPr>
        <w:tc>
          <w:tcPr>
            <w:tcW w:w="3266" w:type="dxa"/>
            <w:shd w:val="clear" w:color="auto" w:fill="BDD6EE" w:themeFill="accent1" w:themeFillTint="66"/>
            <w:noWrap/>
            <w:vAlign w:val="center"/>
            <w:hideMark/>
          </w:tcPr>
          <w:p w14:paraId="51444FE4" w14:textId="77777777" w:rsidR="00726B8F" w:rsidRPr="00C0001C" w:rsidRDefault="00726B8F" w:rsidP="00726B8F">
            <w:pPr>
              <w:spacing w:before="0" w:after="0" w:line="240" w:lineRule="auto"/>
              <w:jc w:val="left"/>
              <w:rPr>
                <w:rFonts w:asciiTheme="minorHAnsi" w:hAnsiTheme="minorHAnsi" w:cs="Arial"/>
                <w:b/>
                <w:bCs/>
                <w:sz w:val="18"/>
                <w:szCs w:val="18"/>
              </w:rPr>
            </w:pPr>
            <w:r w:rsidRPr="00C0001C">
              <w:rPr>
                <w:rFonts w:asciiTheme="minorHAnsi" w:hAnsiTheme="minorHAnsi" w:cs="Arial"/>
                <w:b/>
                <w:bCs/>
                <w:sz w:val="18"/>
                <w:szCs w:val="18"/>
              </w:rPr>
              <w:t>Celkové investičné náklady</w:t>
            </w:r>
          </w:p>
        </w:tc>
        <w:tc>
          <w:tcPr>
            <w:tcW w:w="992" w:type="dxa"/>
            <w:shd w:val="clear" w:color="auto" w:fill="BDD6EE" w:themeFill="accent1" w:themeFillTint="66"/>
            <w:noWrap/>
            <w:vAlign w:val="center"/>
            <w:hideMark/>
          </w:tcPr>
          <w:p w14:paraId="44B9B4E5" w14:textId="48E45075" w:rsidR="00726B8F" w:rsidRPr="00EF1CB7" w:rsidRDefault="00726B8F" w:rsidP="00726B8F">
            <w:pPr>
              <w:spacing w:before="0" w:after="0" w:line="240" w:lineRule="auto"/>
              <w:jc w:val="right"/>
              <w:rPr>
                <w:rFonts w:asciiTheme="minorHAnsi" w:hAnsiTheme="minorHAnsi" w:cstheme="minorHAnsi"/>
                <w:b/>
                <w:bCs/>
                <w:sz w:val="18"/>
                <w:szCs w:val="18"/>
              </w:rPr>
            </w:pPr>
            <w:r>
              <w:rPr>
                <w:rFonts w:cs="Arial"/>
                <w:b/>
                <w:bCs/>
                <w:sz w:val="16"/>
                <w:szCs w:val="16"/>
              </w:rPr>
              <w:t>3 011 853</w:t>
            </w:r>
          </w:p>
        </w:tc>
        <w:tc>
          <w:tcPr>
            <w:tcW w:w="992" w:type="dxa"/>
            <w:shd w:val="clear" w:color="auto" w:fill="BDD6EE" w:themeFill="accent1" w:themeFillTint="66"/>
            <w:noWrap/>
            <w:vAlign w:val="center"/>
            <w:hideMark/>
          </w:tcPr>
          <w:p w14:paraId="235D9194" w14:textId="79EF872B" w:rsidR="00726B8F" w:rsidRPr="00EF1CB7" w:rsidRDefault="00726B8F" w:rsidP="00726B8F">
            <w:pPr>
              <w:spacing w:before="0" w:after="0" w:line="240" w:lineRule="auto"/>
              <w:jc w:val="right"/>
              <w:rPr>
                <w:rFonts w:asciiTheme="minorHAnsi" w:hAnsiTheme="minorHAnsi" w:cstheme="minorHAnsi"/>
                <w:b/>
                <w:bCs/>
                <w:sz w:val="18"/>
                <w:szCs w:val="18"/>
              </w:rPr>
            </w:pPr>
            <w:r>
              <w:rPr>
                <w:rFonts w:cs="Arial"/>
                <w:b/>
                <w:bCs/>
                <w:sz w:val="16"/>
                <w:szCs w:val="16"/>
              </w:rPr>
              <w:t>3 011 853</w:t>
            </w:r>
          </w:p>
        </w:tc>
        <w:tc>
          <w:tcPr>
            <w:tcW w:w="992" w:type="dxa"/>
            <w:shd w:val="clear" w:color="auto" w:fill="BDD6EE" w:themeFill="accent1" w:themeFillTint="66"/>
            <w:noWrap/>
            <w:vAlign w:val="center"/>
          </w:tcPr>
          <w:p w14:paraId="57A6B32E" w14:textId="77777777" w:rsidR="00726B8F" w:rsidRPr="00180F09" w:rsidRDefault="00726B8F" w:rsidP="00726B8F">
            <w:pPr>
              <w:spacing w:before="0" w:after="0" w:line="240" w:lineRule="auto"/>
              <w:jc w:val="right"/>
              <w:rPr>
                <w:rFonts w:asciiTheme="minorHAnsi" w:hAnsiTheme="minorHAnsi" w:cs="Arial"/>
                <w:b/>
                <w:bCs/>
                <w:sz w:val="18"/>
                <w:szCs w:val="18"/>
              </w:rPr>
            </w:pPr>
          </w:p>
        </w:tc>
        <w:tc>
          <w:tcPr>
            <w:tcW w:w="992" w:type="dxa"/>
            <w:shd w:val="clear" w:color="auto" w:fill="BDD6EE" w:themeFill="accent1" w:themeFillTint="66"/>
            <w:noWrap/>
            <w:vAlign w:val="center"/>
          </w:tcPr>
          <w:p w14:paraId="3134D270" w14:textId="78D8ADF4" w:rsidR="00726B8F" w:rsidRPr="00C0001C" w:rsidRDefault="00726B8F" w:rsidP="00726B8F">
            <w:pPr>
              <w:spacing w:before="0" w:after="0" w:line="240" w:lineRule="auto"/>
              <w:jc w:val="right"/>
              <w:rPr>
                <w:rFonts w:asciiTheme="minorHAnsi" w:hAnsiTheme="minorHAnsi" w:cs="Arial"/>
                <w:b/>
                <w:bCs/>
                <w:sz w:val="18"/>
                <w:szCs w:val="18"/>
              </w:rPr>
            </w:pPr>
          </w:p>
        </w:tc>
        <w:tc>
          <w:tcPr>
            <w:tcW w:w="992" w:type="dxa"/>
            <w:shd w:val="clear" w:color="auto" w:fill="BDD6EE" w:themeFill="accent1" w:themeFillTint="66"/>
            <w:noWrap/>
            <w:vAlign w:val="center"/>
          </w:tcPr>
          <w:p w14:paraId="5279EDA6" w14:textId="2B9668B8" w:rsidR="00726B8F" w:rsidRPr="00C0001C" w:rsidRDefault="00726B8F" w:rsidP="00726B8F">
            <w:pPr>
              <w:spacing w:before="0" w:after="0" w:line="240" w:lineRule="auto"/>
              <w:jc w:val="right"/>
              <w:rPr>
                <w:rFonts w:asciiTheme="minorHAnsi" w:hAnsiTheme="minorHAnsi" w:cs="Arial"/>
                <w:b/>
                <w:bCs/>
                <w:sz w:val="18"/>
                <w:szCs w:val="18"/>
              </w:rPr>
            </w:pPr>
          </w:p>
        </w:tc>
        <w:tc>
          <w:tcPr>
            <w:tcW w:w="993" w:type="dxa"/>
            <w:shd w:val="clear" w:color="auto" w:fill="BDD6EE" w:themeFill="accent1" w:themeFillTint="66"/>
            <w:noWrap/>
            <w:vAlign w:val="center"/>
          </w:tcPr>
          <w:p w14:paraId="2A9EE6C7" w14:textId="443C3715" w:rsidR="00726B8F" w:rsidRPr="00C0001C" w:rsidRDefault="00726B8F" w:rsidP="00726B8F">
            <w:pPr>
              <w:spacing w:before="0" w:after="0" w:line="240" w:lineRule="auto"/>
              <w:jc w:val="right"/>
              <w:rPr>
                <w:rFonts w:asciiTheme="minorHAnsi" w:hAnsiTheme="minorHAnsi" w:cs="Arial"/>
                <w:b/>
                <w:bCs/>
                <w:sz w:val="18"/>
                <w:szCs w:val="18"/>
              </w:rPr>
            </w:pPr>
          </w:p>
        </w:tc>
      </w:tr>
    </w:tbl>
    <w:p w14:paraId="2C160548" w14:textId="5519EB1B" w:rsidR="005A7D49" w:rsidRDefault="005A7D49" w:rsidP="005A7D49">
      <w:r w:rsidRPr="00DA4343">
        <w:rPr>
          <w:i/>
          <w:sz w:val="16"/>
        </w:rPr>
        <w:t xml:space="preserve">Zdroj: Príloha </w:t>
      </w:r>
      <w:r w:rsidR="00090490">
        <w:rPr>
          <w:i/>
          <w:sz w:val="16"/>
        </w:rPr>
        <w:t>2</w:t>
      </w:r>
      <w:r w:rsidRPr="00DA4343">
        <w:rPr>
          <w:i/>
          <w:sz w:val="16"/>
        </w:rPr>
        <w:t xml:space="preserve">, hárok </w:t>
      </w:r>
      <w:r>
        <w:rPr>
          <w:i/>
          <w:sz w:val="16"/>
        </w:rPr>
        <w:t>01</w:t>
      </w:r>
    </w:p>
    <w:p w14:paraId="1CDECF92" w14:textId="77777777" w:rsidR="004C1394" w:rsidRDefault="004C1394" w:rsidP="005A7D49"/>
    <w:p w14:paraId="63D55872" w14:textId="79571573" w:rsidR="005A7D49" w:rsidRDefault="005A7D49" w:rsidP="005A7D49">
      <w:r>
        <w:t>Ekonomické investičné náklady boli stanovené s použitím konverzných faktorov podľa časti 5.2 metodiky CBA, tabuľka 18.</w:t>
      </w:r>
    </w:p>
    <w:p w14:paraId="0AAEFD96" w14:textId="22184C7D" w:rsidR="005A7D49" w:rsidRDefault="005A7D49" w:rsidP="005A7D49">
      <w:pPr>
        <w:pStyle w:val="Caption"/>
      </w:pPr>
      <w:r>
        <w:lastRenderedPageBreak/>
        <w:t xml:space="preserve">Tab. </w:t>
      </w:r>
      <w:r>
        <w:fldChar w:fldCharType="begin"/>
      </w:r>
      <w:r>
        <w:instrText xml:space="preserve"> SEQ Tab. \* ARABIC </w:instrText>
      </w:r>
      <w:r>
        <w:fldChar w:fldCharType="separate"/>
      </w:r>
      <w:r w:rsidR="00A86720">
        <w:rPr>
          <w:noProof/>
        </w:rPr>
        <w:t>58</w:t>
      </w:r>
      <w:r>
        <w:fldChar w:fldCharType="end"/>
      </w:r>
      <w:r>
        <w:t xml:space="preserve"> – Investičné náklady, použité fiškálne konverzné faktory</w:t>
      </w:r>
    </w:p>
    <w:tbl>
      <w:tblPr>
        <w:tblW w:w="923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261"/>
        <w:gridCol w:w="2081"/>
        <w:gridCol w:w="8"/>
        <w:gridCol w:w="2021"/>
        <w:gridCol w:w="1852"/>
        <w:gridCol w:w="8"/>
      </w:tblGrid>
      <w:tr w:rsidR="005A7D49" w:rsidRPr="00260FF6" w14:paraId="2DAAE45F" w14:textId="77777777" w:rsidTr="005A7D49">
        <w:trPr>
          <w:trHeight w:val="225"/>
        </w:trPr>
        <w:tc>
          <w:tcPr>
            <w:tcW w:w="5350" w:type="dxa"/>
            <w:gridSpan w:val="3"/>
            <w:vMerge w:val="restart"/>
            <w:shd w:val="clear" w:color="auto" w:fill="BDD6EE" w:themeFill="accent1" w:themeFillTint="66"/>
            <w:noWrap/>
            <w:vAlign w:val="center"/>
          </w:tcPr>
          <w:p w14:paraId="764313BE" w14:textId="77777777"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Fiškálne konverzné faktory</w:t>
            </w:r>
          </w:p>
        </w:tc>
        <w:tc>
          <w:tcPr>
            <w:tcW w:w="3881" w:type="dxa"/>
            <w:gridSpan w:val="3"/>
            <w:shd w:val="clear" w:color="auto" w:fill="BDD6EE" w:themeFill="accent1" w:themeFillTint="66"/>
            <w:vAlign w:val="center"/>
          </w:tcPr>
          <w:p w14:paraId="06595F55" w14:textId="77777777"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Rozdelenie nákladov na výrobné faktory</w:t>
            </w:r>
          </w:p>
        </w:tc>
      </w:tr>
      <w:tr w:rsidR="005A7D49" w:rsidRPr="00260FF6" w14:paraId="24065732" w14:textId="77777777" w:rsidTr="005A7D49">
        <w:trPr>
          <w:trHeight w:val="225"/>
        </w:trPr>
        <w:tc>
          <w:tcPr>
            <w:tcW w:w="5350" w:type="dxa"/>
            <w:gridSpan w:val="3"/>
            <w:vMerge/>
            <w:shd w:val="clear" w:color="auto" w:fill="BDD6EE" w:themeFill="accent1" w:themeFillTint="66"/>
            <w:noWrap/>
            <w:vAlign w:val="center"/>
          </w:tcPr>
          <w:p w14:paraId="1007D599" w14:textId="77777777" w:rsidR="005A7D49" w:rsidRPr="00260FF6" w:rsidRDefault="005A7D49" w:rsidP="005A7D49">
            <w:pPr>
              <w:spacing w:before="0" w:after="0" w:line="240" w:lineRule="auto"/>
              <w:jc w:val="center"/>
              <w:rPr>
                <w:rFonts w:asciiTheme="minorHAnsi" w:hAnsiTheme="minorHAnsi" w:cs="Arial"/>
                <w:sz w:val="18"/>
                <w:szCs w:val="18"/>
              </w:rPr>
            </w:pPr>
          </w:p>
        </w:tc>
        <w:tc>
          <w:tcPr>
            <w:tcW w:w="2021" w:type="dxa"/>
            <w:shd w:val="clear" w:color="auto" w:fill="BDD6EE" w:themeFill="accent1" w:themeFillTint="66"/>
            <w:vAlign w:val="center"/>
          </w:tcPr>
          <w:p w14:paraId="179A1431" w14:textId="77777777" w:rsidR="005A7D49" w:rsidRPr="00260FF6" w:rsidRDefault="005A7D49" w:rsidP="005A7D49">
            <w:pPr>
              <w:spacing w:before="0" w:after="0" w:line="240" w:lineRule="auto"/>
              <w:jc w:val="center"/>
              <w:rPr>
                <w:rFonts w:asciiTheme="minorHAnsi" w:hAnsiTheme="minorHAnsi" w:cs="Arial"/>
                <w:sz w:val="18"/>
                <w:szCs w:val="18"/>
              </w:rPr>
            </w:pPr>
            <w:r w:rsidRPr="00C0001C">
              <w:rPr>
                <w:rFonts w:asciiTheme="minorHAnsi" w:hAnsiTheme="minorHAnsi" w:cs="Arial"/>
                <w:sz w:val="18"/>
                <w:szCs w:val="18"/>
              </w:rPr>
              <w:t>Technológia a zariadenia</w:t>
            </w:r>
          </w:p>
        </w:tc>
        <w:tc>
          <w:tcPr>
            <w:tcW w:w="1860" w:type="dxa"/>
            <w:gridSpan w:val="2"/>
            <w:shd w:val="clear" w:color="auto" w:fill="BDD6EE" w:themeFill="accent1" w:themeFillTint="66"/>
            <w:vAlign w:val="center"/>
          </w:tcPr>
          <w:p w14:paraId="0D056BD4" w14:textId="77777777" w:rsidR="005A7D49" w:rsidRPr="00260FF6" w:rsidRDefault="005A7D49" w:rsidP="005A7D49">
            <w:pPr>
              <w:spacing w:before="0" w:after="0" w:line="240" w:lineRule="auto"/>
              <w:jc w:val="center"/>
              <w:rPr>
                <w:rFonts w:asciiTheme="minorHAnsi" w:hAnsiTheme="minorHAnsi" w:cs="Arial"/>
                <w:sz w:val="18"/>
                <w:szCs w:val="18"/>
              </w:rPr>
            </w:pPr>
            <w:r w:rsidRPr="00C0001C">
              <w:rPr>
                <w:rFonts w:asciiTheme="minorHAnsi" w:hAnsiTheme="minorHAnsi" w:cs="Arial"/>
                <w:sz w:val="18"/>
                <w:szCs w:val="18"/>
              </w:rPr>
              <w:t>Iné služby</w:t>
            </w:r>
            <w:r>
              <w:rPr>
                <w:rFonts w:asciiTheme="minorHAnsi" w:hAnsiTheme="minorHAnsi" w:cs="Arial"/>
                <w:sz w:val="18"/>
                <w:szCs w:val="18"/>
              </w:rPr>
              <w:t xml:space="preserve"> (projektovanie)</w:t>
            </w:r>
          </w:p>
        </w:tc>
      </w:tr>
      <w:tr w:rsidR="005A7D49" w:rsidRPr="00260FF6" w14:paraId="3386711A" w14:textId="77777777" w:rsidTr="005A7D49">
        <w:trPr>
          <w:gridAfter w:val="1"/>
          <w:wAfter w:w="8" w:type="dxa"/>
          <w:trHeight w:val="225"/>
        </w:trPr>
        <w:tc>
          <w:tcPr>
            <w:tcW w:w="3261" w:type="dxa"/>
            <w:shd w:val="clear" w:color="auto" w:fill="DEEAF6" w:themeFill="accent1" w:themeFillTint="33"/>
            <w:noWrap/>
            <w:vAlign w:val="center"/>
            <w:hideMark/>
          </w:tcPr>
          <w:p w14:paraId="224BCEF7" w14:textId="77777777" w:rsidR="005A7D49" w:rsidRPr="00AD32AA" w:rsidRDefault="005A7D49" w:rsidP="005A7D49">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Personálne výdavky</w:t>
            </w:r>
          </w:p>
        </w:tc>
        <w:tc>
          <w:tcPr>
            <w:tcW w:w="2081" w:type="dxa"/>
            <w:shd w:val="clear" w:color="auto" w:fill="auto"/>
            <w:noWrap/>
            <w:vAlign w:val="center"/>
            <w:hideMark/>
          </w:tcPr>
          <w:p w14:paraId="514F9D3D" w14:textId="77777777" w:rsidR="005A7D49" w:rsidRPr="00AD32AA" w:rsidRDefault="005A7D49" w:rsidP="005A7D49">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0,9</w:t>
            </w:r>
          </w:p>
        </w:tc>
        <w:tc>
          <w:tcPr>
            <w:tcW w:w="2029" w:type="dxa"/>
            <w:gridSpan w:val="2"/>
            <w:vAlign w:val="center"/>
          </w:tcPr>
          <w:p w14:paraId="7650203F" w14:textId="0956F2E9"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25</w:t>
            </w:r>
            <w:r w:rsidR="00532C7C">
              <w:rPr>
                <w:rFonts w:asciiTheme="minorHAnsi" w:hAnsiTheme="minorHAnsi" w:cs="Arial"/>
                <w:sz w:val="18"/>
                <w:szCs w:val="18"/>
              </w:rPr>
              <w:t xml:space="preserve"> </w:t>
            </w:r>
            <w:r w:rsidRPr="00260FF6">
              <w:rPr>
                <w:rFonts w:asciiTheme="minorHAnsi" w:hAnsiTheme="minorHAnsi" w:cs="Arial"/>
                <w:sz w:val="18"/>
                <w:szCs w:val="18"/>
              </w:rPr>
              <w:t>%</w:t>
            </w:r>
          </w:p>
        </w:tc>
        <w:tc>
          <w:tcPr>
            <w:tcW w:w="1852" w:type="dxa"/>
            <w:vAlign w:val="center"/>
          </w:tcPr>
          <w:p w14:paraId="7AF21116" w14:textId="73F98A12"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70</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5A7D49" w:rsidRPr="00260FF6" w14:paraId="5F565DA3" w14:textId="77777777" w:rsidTr="005A7D49">
        <w:trPr>
          <w:gridAfter w:val="1"/>
          <w:wAfter w:w="8" w:type="dxa"/>
          <w:trHeight w:val="225"/>
        </w:trPr>
        <w:tc>
          <w:tcPr>
            <w:tcW w:w="3261" w:type="dxa"/>
            <w:shd w:val="clear" w:color="auto" w:fill="DEEAF6" w:themeFill="accent1" w:themeFillTint="33"/>
            <w:noWrap/>
            <w:vAlign w:val="center"/>
            <w:hideMark/>
          </w:tcPr>
          <w:p w14:paraId="47ADD2E1" w14:textId="77777777" w:rsidR="005A7D49" w:rsidRPr="00AD32AA" w:rsidRDefault="005A7D49" w:rsidP="005A7D49">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Pohonné hmoty</w:t>
            </w:r>
          </w:p>
        </w:tc>
        <w:tc>
          <w:tcPr>
            <w:tcW w:w="2081" w:type="dxa"/>
            <w:shd w:val="clear" w:color="auto" w:fill="auto"/>
            <w:noWrap/>
            <w:vAlign w:val="center"/>
            <w:hideMark/>
          </w:tcPr>
          <w:p w14:paraId="727FD2CF" w14:textId="77777777" w:rsidR="005A7D49" w:rsidRPr="00AD32AA" w:rsidRDefault="005A7D49" w:rsidP="005A7D49">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0,5</w:t>
            </w:r>
          </w:p>
        </w:tc>
        <w:tc>
          <w:tcPr>
            <w:tcW w:w="2029" w:type="dxa"/>
            <w:gridSpan w:val="2"/>
            <w:vAlign w:val="center"/>
          </w:tcPr>
          <w:p w14:paraId="2CC73D92" w14:textId="40E92484"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15</w:t>
            </w:r>
            <w:r w:rsidR="00532C7C">
              <w:rPr>
                <w:rFonts w:asciiTheme="minorHAnsi" w:hAnsiTheme="minorHAnsi" w:cs="Arial"/>
                <w:sz w:val="18"/>
                <w:szCs w:val="18"/>
              </w:rPr>
              <w:t xml:space="preserve"> </w:t>
            </w:r>
            <w:r w:rsidRPr="00260FF6">
              <w:rPr>
                <w:rFonts w:asciiTheme="minorHAnsi" w:hAnsiTheme="minorHAnsi" w:cs="Arial"/>
                <w:sz w:val="18"/>
                <w:szCs w:val="18"/>
              </w:rPr>
              <w:t>%</w:t>
            </w:r>
          </w:p>
        </w:tc>
        <w:tc>
          <w:tcPr>
            <w:tcW w:w="1852" w:type="dxa"/>
            <w:vAlign w:val="center"/>
          </w:tcPr>
          <w:p w14:paraId="7291D2F1" w14:textId="5F62D1E0"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5A7D49" w:rsidRPr="00260FF6" w14:paraId="6CCC8D4D" w14:textId="77777777" w:rsidTr="005A7D49">
        <w:trPr>
          <w:gridAfter w:val="1"/>
          <w:wAfter w:w="8" w:type="dxa"/>
          <w:trHeight w:val="225"/>
        </w:trPr>
        <w:tc>
          <w:tcPr>
            <w:tcW w:w="3261" w:type="dxa"/>
            <w:shd w:val="clear" w:color="auto" w:fill="DEEAF6" w:themeFill="accent1" w:themeFillTint="33"/>
            <w:noWrap/>
            <w:vAlign w:val="center"/>
            <w:hideMark/>
          </w:tcPr>
          <w:p w14:paraId="0F531A3F" w14:textId="77777777" w:rsidR="005A7D49" w:rsidRPr="00AD32AA" w:rsidRDefault="005A7D49" w:rsidP="005A7D49">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Materiál a osta</w:t>
            </w:r>
            <w:r>
              <w:rPr>
                <w:rFonts w:asciiTheme="minorHAnsi" w:hAnsiTheme="minorHAnsi" w:cs="Arial"/>
                <w:sz w:val="18"/>
                <w:szCs w:val="18"/>
              </w:rPr>
              <w:t>t</w:t>
            </w:r>
            <w:r w:rsidRPr="00AD32AA">
              <w:rPr>
                <w:rFonts w:asciiTheme="minorHAnsi" w:hAnsiTheme="minorHAnsi" w:cs="Arial"/>
                <w:sz w:val="18"/>
                <w:szCs w:val="18"/>
              </w:rPr>
              <w:t>né zdroje</w:t>
            </w:r>
          </w:p>
        </w:tc>
        <w:tc>
          <w:tcPr>
            <w:tcW w:w="2081" w:type="dxa"/>
            <w:shd w:val="clear" w:color="auto" w:fill="auto"/>
            <w:noWrap/>
            <w:vAlign w:val="center"/>
            <w:hideMark/>
          </w:tcPr>
          <w:p w14:paraId="0222A92C" w14:textId="77777777" w:rsidR="005A7D49" w:rsidRPr="00AD32AA" w:rsidRDefault="005A7D49" w:rsidP="005A7D49">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1,0</w:t>
            </w:r>
          </w:p>
        </w:tc>
        <w:tc>
          <w:tcPr>
            <w:tcW w:w="2029" w:type="dxa"/>
            <w:gridSpan w:val="2"/>
            <w:vAlign w:val="center"/>
          </w:tcPr>
          <w:p w14:paraId="06C0BF00" w14:textId="237DD5E1"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60</w:t>
            </w:r>
            <w:r w:rsidR="00532C7C">
              <w:rPr>
                <w:rFonts w:asciiTheme="minorHAnsi" w:hAnsiTheme="minorHAnsi" w:cs="Arial"/>
                <w:sz w:val="18"/>
                <w:szCs w:val="18"/>
              </w:rPr>
              <w:t xml:space="preserve"> </w:t>
            </w:r>
            <w:r w:rsidRPr="00260FF6">
              <w:rPr>
                <w:rFonts w:asciiTheme="minorHAnsi" w:hAnsiTheme="minorHAnsi" w:cs="Arial"/>
                <w:sz w:val="18"/>
                <w:szCs w:val="18"/>
              </w:rPr>
              <w:t>%</w:t>
            </w:r>
          </w:p>
        </w:tc>
        <w:tc>
          <w:tcPr>
            <w:tcW w:w="1852" w:type="dxa"/>
            <w:vAlign w:val="center"/>
          </w:tcPr>
          <w:p w14:paraId="2B6C1774" w14:textId="465BC24F"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25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bl>
    <w:p w14:paraId="7E55C18F" w14:textId="5E5D59C7" w:rsidR="005A7D49" w:rsidRDefault="005A7D49" w:rsidP="005A7D49">
      <w:pPr>
        <w:rPr>
          <w:i/>
          <w:sz w:val="16"/>
        </w:rPr>
      </w:pPr>
      <w:r w:rsidRPr="00DA4343">
        <w:rPr>
          <w:i/>
          <w:sz w:val="16"/>
        </w:rPr>
        <w:t xml:space="preserve">Zdroj: Príloha </w:t>
      </w:r>
      <w:r w:rsidR="00090490">
        <w:rPr>
          <w:i/>
          <w:sz w:val="16"/>
        </w:rPr>
        <w:t>2</w:t>
      </w:r>
      <w:r w:rsidRPr="00DA4343">
        <w:rPr>
          <w:i/>
          <w:sz w:val="16"/>
        </w:rPr>
        <w:t xml:space="preserve">, hárok </w:t>
      </w:r>
      <w:r>
        <w:rPr>
          <w:i/>
          <w:sz w:val="16"/>
        </w:rPr>
        <w:t>‚Parametre‘</w:t>
      </w:r>
    </w:p>
    <w:p w14:paraId="3AEF99D7" w14:textId="77777777" w:rsidR="005A7D49" w:rsidRDefault="005A7D49" w:rsidP="005A7D49"/>
    <w:p w14:paraId="14ED8F92" w14:textId="77777777" w:rsidR="005A7D49" w:rsidRDefault="005A7D49" w:rsidP="00A40297">
      <w:pPr>
        <w:pStyle w:val="Heading3"/>
      </w:pPr>
      <w:bookmarkStart w:id="185" w:name="_Toc87348767"/>
      <w:r>
        <w:t>Prevádzkové náklady – Ekonomické</w:t>
      </w:r>
      <w:bookmarkEnd w:id="185"/>
      <w:r>
        <w:t xml:space="preserve"> </w:t>
      </w:r>
    </w:p>
    <w:p w14:paraId="78A98BEF" w14:textId="0D6B3011" w:rsidR="005A7D49" w:rsidRDefault="005A7D49" w:rsidP="005A7D49">
      <w:r>
        <w:t>Ekonomické prevádzkové náklady sú stanovené pomocou konverzného faktoru „výber mýta“. V tabuľkách nižšie sú uvedené inkrementálne výdavky – výdavky daného variantu po odrátaní výdavkov nulového variantu.</w:t>
      </w:r>
    </w:p>
    <w:p w14:paraId="1B6A3CFF" w14:textId="0818ABAB"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59</w:t>
      </w:r>
      <w:r>
        <w:fldChar w:fldCharType="end"/>
      </w:r>
      <w:r>
        <w:t xml:space="preserve"> - Prevádzkové náklady, ekonomické prírastkové, preferovaný variant 2</w:t>
      </w:r>
    </w:p>
    <w:tbl>
      <w:tblPr>
        <w:tblW w:w="92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977"/>
        <w:gridCol w:w="1380"/>
        <w:gridCol w:w="1000"/>
        <w:gridCol w:w="980"/>
        <w:gridCol w:w="980"/>
        <w:gridCol w:w="980"/>
        <w:gridCol w:w="980"/>
      </w:tblGrid>
      <w:tr w:rsidR="005A7D49" w:rsidRPr="00313F9C" w14:paraId="29BFAD1A" w14:textId="77777777" w:rsidTr="00A40297">
        <w:trPr>
          <w:trHeight w:val="225"/>
        </w:trPr>
        <w:tc>
          <w:tcPr>
            <w:tcW w:w="2977" w:type="dxa"/>
            <w:shd w:val="clear" w:color="auto" w:fill="BDD6EE" w:themeFill="accent1" w:themeFillTint="66"/>
            <w:noWrap/>
            <w:vAlign w:val="center"/>
            <w:hideMark/>
          </w:tcPr>
          <w:p w14:paraId="55B2CF23" w14:textId="77777777" w:rsidR="005A7D49" w:rsidRPr="005A7D49" w:rsidRDefault="005A7D49"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3.4 Prevádzkové náklady (ekonomické)</w:t>
            </w:r>
            <w:r w:rsidRPr="005A7D49">
              <w:rPr>
                <w:rFonts w:asciiTheme="minorHAnsi" w:hAnsiTheme="minorHAnsi" w:cstheme="minorHAnsi"/>
                <w:b/>
                <w:bCs/>
                <w:sz w:val="18"/>
                <w:szCs w:val="18"/>
              </w:rPr>
              <w:br/>
              <w:t>Inkrementálne (PRÍRASTKOVÉ)</w:t>
            </w:r>
          </w:p>
        </w:tc>
        <w:tc>
          <w:tcPr>
            <w:tcW w:w="1380" w:type="dxa"/>
            <w:shd w:val="clear" w:color="auto" w:fill="BDD6EE" w:themeFill="accent1" w:themeFillTint="66"/>
            <w:noWrap/>
            <w:vAlign w:val="center"/>
            <w:hideMark/>
          </w:tcPr>
          <w:p w14:paraId="47C15D03" w14:textId="77777777" w:rsidR="005A7D49" w:rsidRPr="005A7D49" w:rsidRDefault="005A7D49" w:rsidP="005A7D49">
            <w:pPr>
              <w:spacing w:before="0" w:after="0" w:line="240" w:lineRule="auto"/>
              <w:jc w:val="center"/>
              <w:rPr>
                <w:rFonts w:asciiTheme="minorHAnsi" w:hAnsiTheme="minorHAnsi" w:cstheme="minorHAnsi"/>
                <w:bCs/>
                <w:sz w:val="18"/>
                <w:szCs w:val="18"/>
              </w:rPr>
            </w:pPr>
            <w:r w:rsidRPr="005A7D49">
              <w:rPr>
                <w:rFonts w:asciiTheme="minorHAnsi" w:hAnsiTheme="minorHAnsi" w:cstheme="minorHAnsi"/>
                <w:bCs/>
                <w:sz w:val="18"/>
                <w:szCs w:val="18"/>
              </w:rPr>
              <w:t>Celkom</w:t>
            </w:r>
          </w:p>
        </w:tc>
        <w:tc>
          <w:tcPr>
            <w:tcW w:w="1000" w:type="dxa"/>
            <w:shd w:val="clear" w:color="auto" w:fill="BDD6EE" w:themeFill="accent1" w:themeFillTint="66"/>
            <w:noWrap/>
            <w:vAlign w:val="center"/>
            <w:hideMark/>
          </w:tcPr>
          <w:p w14:paraId="601A1A20"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2022</w:t>
            </w:r>
          </w:p>
        </w:tc>
        <w:tc>
          <w:tcPr>
            <w:tcW w:w="980" w:type="dxa"/>
            <w:shd w:val="clear" w:color="auto" w:fill="BDD6EE" w:themeFill="accent1" w:themeFillTint="66"/>
            <w:noWrap/>
            <w:vAlign w:val="center"/>
            <w:hideMark/>
          </w:tcPr>
          <w:p w14:paraId="646915E3"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2023</w:t>
            </w:r>
          </w:p>
        </w:tc>
        <w:tc>
          <w:tcPr>
            <w:tcW w:w="980" w:type="dxa"/>
            <w:shd w:val="clear" w:color="auto" w:fill="BDD6EE" w:themeFill="accent1" w:themeFillTint="66"/>
            <w:noWrap/>
            <w:vAlign w:val="center"/>
            <w:hideMark/>
          </w:tcPr>
          <w:p w14:paraId="2E79A49F"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2024</w:t>
            </w:r>
          </w:p>
        </w:tc>
        <w:tc>
          <w:tcPr>
            <w:tcW w:w="980" w:type="dxa"/>
            <w:shd w:val="clear" w:color="auto" w:fill="BDD6EE" w:themeFill="accent1" w:themeFillTint="66"/>
            <w:noWrap/>
            <w:vAlign w:val="center"/>
            <w:hideMark/>
          </w:tcPr>
          <w:p w14:paraId="0BAD249B"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2025</w:t>
            </w:r>
          </w:p>
        </w:tc>
        <w:tc>
          <w:tcPr>
            <w:tcW w:w="980" w:type="dxa"/>
            <w:shd w:val="clear" w:color="auto" w:fill="BDD6EE" w:themeFill="accent1" w:themeFillTint="66"/>
            <w:noWrap/>
            <w:vAlign w:val="center"/>
            <w:hideMark/>
          </w:tcPr>
          <w:p w14:paraId="0C6214AB" w14:textId="77777777" w:rsidR="005A7D49" w:rsidRPr="005A7D49" w:rsidRDefault="005A7D49" w:rsidP="005A7D49">
            <w:pPr>
              <w:spacing w:before="0" w:after="0" w:line="240" w:lineRule="auto"/>
              <w:jc w:val="center"/>
              <w:rPr>
                <w:rFonts w:asciiTheme="minorHAnsi" w:hAnsiTheme="minorHAnsi" w:cstheme="minorHAnsi"/>
                <w:sz w:val="18"/>
                <w:szCs w:val="18"/>
              </w:rPr>
            </w:pPr>
            <w:r w:rsidRPr="005A7D49">
              <w:rPr>
                <w:rFonts w:asciiTheme="minorHAnsi" w:hAnsiTheme="minorHAnsi" w:cstheme="minorHAnsi"/>
                <w:sz w:val="18"/>
                <w:szCs w:val="18"/>
              </w:rPr>
              <w:t>2026</w:t>
            </w:r>
          </w:p>
        </w:tc>
      </w:tr>
      <w:tr w:rsidR="005A7D49" w:rsidRPr="00313F9C" w14:paraId="62C8D39F" w14:textId="77777777" w:rsidTr="00A40297">
        <w:trPr>
          <w:trHeight w:val="225"/>
        </w:trPr>
        <w:tc>
          <w:tcPr>
            <w:tcW w:w="2977" w:type="dxa"/>
            <w:shd w:val="clear" w:color="auto" w:fill="DEEAF6" w:themeFill="accent1" w:themeFillTint="33"/>
            <w:noWrap/>
            <w:vAlign w:val="center"/>
            <w:hideMark/>
          </w:tcPr>
          <w:p w14:paraId="39609523" w14:textId="77777777" w:rsidR="005A7D49" w:rsidRPr="005A7D49" w:rsidRDefault="005A7D49"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Bežné prevádzkové výdavky</w:t>
            </w:r>
          </w:p>
        </w:tc>
        <w:tc>
          <w:tcPr>
            <w:tcW w:w="1380" w:type="dxa"/>
            <w:shd w:val="clear" w:color="auto" w:fill="auto"/>
            <w:noWrap/>
            <w:vAlign w:val="center"/>
            <w:hideMark/>
          </w:tcPr>
          <w:p w14:paraId="49463F9F"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2703A3C9"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51AF1482"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44B2ABCC"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15759285"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5A82B0E3"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69480F33" w14:textId="77777777" w:rsidTr="00A40297">
        <w:trPr>
          <w:trHeight w:val="225"/>
        </w:trPr>
        <w:tc>
          <w:tcPr>
            <w:tcW w:w="2977" w:type="dxa"/>
            <w:shd w:val="clear" w:color="auto" w:fill="DEEAF6" w:themeFill="accent1" w:themeFillTint="33"/>
            <w:noWrap/>
            <w:vAlign w:val="center"/>
            <w:hideMark/>
          </w:tcPr>
          <w:p w14:paraId="4D6B6ED3" w14:textId="77777777" w:rsidR="005A7D49" w:rsidRPr="005A7D49" w:rsidRDefault="005A7D49"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Pravidelné prevádzkové výdavky</w:t>
            </w:r>
          </w:p>
        </w:tc>
        <w:tc>
          <w:tcPr>
            <w:tcW w:w="1380" w:type="dxa"/>
            <w:shd w:val="clear" w:color="auto" w:fill="auto"/>
            <w:noWrap/>
            <w:vAlign w:val="center"/>
            <w:hideMark/>
          </w:tcPr>
          <w:p w14:paraId="2D877C5B"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41BA7185"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28A1D994"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6424C992"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7255D8D4"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626C2158"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04FD8E2C" w14:textId="77777777" w:rsidTr="00A40297">
        <w:trPr>
          <w:trHeight w:val="225"/>
        </w:trPr>
        <w:tc>
          <w:tcPr>
            <w:tcW w:w="2977" w:type="dxa"/>
            <w:shd w:val="clear" w:color="auto" w:fill="DEEAF6" w:themeFill="accent1" w:themeFillTint="33"/>
            <w:noWrap/>
            <w:vAlign w:val="center"/>
            <w:hideMark/>
          </w:tcPr>
          <w:p w14:paraId="0C7BF664" w14:textId="77777777" w:rsidR="005A7D49" w:rsidRPr="005A7D49" w:rsidRDefault="005A7D49" w:rsidP="00C81C52">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Výmeny</w:t>
            </w:r>
          </w:p>
        </w:tc>
        <w:tc>
          <w:tcPr>
            <w:tcW w:w="1380" w:type="dxa"/>
            <w:shd w:val="clear" w:color="auto" w:fill="auto"/>
            <w:noWrap/>
            <w:vAlign w:val="center"/>
            <w:hideMark/>
          </w:tcPr>
          <w:p w14:paraId="0AA80C29"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0</w:t>
            </w:r>
          </w:p>
        </w:tc>
        <w:tc>
          <w:tcPr>
            <w:tcW w:w="1000" w:type="dxa"/>
            <w:shd w:val="clear" w:color="auto" w:fill="auto"/>
            <w:noWrap/>
            <w:vAlign w:val="center"/>
            <w:hideMark/>
          </w:tcPr>
          <w:p w14:paraId="6BE72C5A"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1E9D6006"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16798C3E"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5005D3A1"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c>
          <w:tcPr>
            <w:tcW w:w="980" w:type="dxa"/>
            <w:shd w:val="clear" w:color="auto" w:fill="auto"/>
            <w:noWrap/>
            <w:vAlign w:val="center"/>
            <w:hideMark/>
          </w:tcPr>
          <w:p w14:paraId="0A94AEAB" w14:textId="77777777" w:rsidR="005A7D49" w:rsidRPr="005A7D49" w:rsidRDefault="005A7D49" w:rsidP="00A40297">
            <w:pPr>
              <w:spacing w:before="0" w:after="0" w:line="240" w:lineRule="auto"/>
              <w:jc w:val="right"/>
              <w:rPr>
                <w:rFonts w:asciiTheme="minorHAnsi" w:hAnsiTheme="minorHAnsi" w:cstheme="minorHAnsi"/>
                <w:sz w:val="18"/>
                <w:szCs w:val="18"/>
              </w:rPr>
            </w:pPr>
            <w:r w:rsidRPr="005A7D49">
              <w:rPr>
                <w:rFonts w:asciiTheme="minorHAnsi" w:hAnsiTheme="minorHAnsi" w:cstheme="minorHAnsi"/>
                <w:sz w:val="18"/>
                <w:szCs w:val="18"/>
              </w:rPr>
              <w:t> </w:t>
            </w:r>
          </w:p>
        </w:tc>
      </w:tr>
      <w:tr w:rsidR="005A7D49" w:rsidRPr="00313F9C" w14:paraId="28EB2751" w14:textId="77777777" w:rsidTr="00A40297">
        <w:trPr>
          <w:trHeight w:val="225"/>
        </w:trPr>
        <w:tc>
          <w:tcPr>
            <w:tcW w:w="2977" w:type="dxa"/>
            <w:shd w:val="clear" w:color="auto" w:fill="DEEAF6" w:themeFill="accent1" w:themeFillTint="33"/>
            <w:noWrap/>
            <w:vAlign w:val="center"/>
            <w:hideMark/>
          </w:tcPr>
          <w:p w14:paraId="0E43DC5E" w14:textId="77777777" w:rsidR="005A7D49" w:rsidRPr="005A7D49" w:rsidRDefault="005A7D49" w:rsidP="00C81C52">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 na údržbu cesty</w:t>
            </w:r>
          </w:p>
        </w:tc>
        <w:tc>
          <w:tcPr>
            <w:tcW w:w="1380" w:type="dxa"/>
            <w:shd w:val="clear" w:color="auto" w:fill="auto"/>
            <w:noWrap/>
            <w:vAlign w:val="center"/>
            <w:hideMark/>
          </w:tcPr>
          <w:p w14:paraId="5C69C655" w14:textId="77777777" w:rsidR="005A7D49" w:rsidRPr="005A7D49" w:rsidRDefault="005A7D49"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1000" w:type="dxa"/>
            <w:shd w:val="clear" w:color="auto" w:fill="auto"/>
            <w:noWrap/>
            <w:vAlign w:val="center"/>
            <w:hideMark/>
          </w:tcPr>
          <w:p w14:paraId="60EA8FF5" w14:textId="77777777" w:rsidR="005A7D49" w:rsidRPr="005A7D49" w:rsidRDefault="005A7D49"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21A1851E" w14:textId="77777777" w:rsidR="005A7D49" w:rsidRPr="005A7D49" w:rsidRDefault="005A7D49"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4C7CA4F1" w14:textId="77777777" w:rsidR="005A7D49" w:rsidRPr="005A7D49" w:rsidRDefault="005A7D49"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64D0919B" w14:textId="77777777" w:rsidR="005A7D49" w:rsidRPr="005A7D49" w:rsidRDefault="005A7D49"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c>
          <w:tcPr>
            <w:tcW w:w="980" w:type="dxa"/>
            <w:shd w:val="clear" w:color="auto" w:fill="auto"/>
            <w:noWrap/>
            <w:vAlign w:val="center"/>
            <w:hideMark/>
          </w:tcPr>
          <w:p w14:paraId="306EE244" w14:textId="77777777" w:rsidR="005A7D49" w:rsidRPr="005A7D49" w:rsidRDefault="005A7D49" w:rsidP="00A40297">
            <w:pPr>
              <w:spacing w:before="0" w:after="0" w:line="240" w:lineRule="auto"/>
              <w:jc w:val="right"/>
              <w:rPr>
                <w:rFonts w:asciiTheme="minorHAnsi" w:hAnsiTheme="minorHAnsi" w:cstheme="minorHAnsi"/>
                <w:b/>
                <w:bCs/>
                <w:sz w:val="18"/>
                <w:szCs w:val="18"/>
              </w:rPr>
            </w:pPr>
            <w:r w:rsidRPr="005A7D49">
              <w:rPr>
                <w:rFonts w:asciiTheme="minorHAnsi" w:hAnsiTheme="minorHAnsi" w:cstheme="minorHAnsi"/>
                <w:b/>
                <w:bCs/>
                <w:sz w:val="18"/>
                <w:szCs w:val="18"/>
              </w:rPr>
              <w:t>0</w:t>
            </w:r>
          </w:p>
        </w:tc>
      </w:tr>
      <w:tr w:rsidR="00F6764A" w:rsidRPr="00313F9C" w14:paraId="17B5CFD4" w14:textId="77777777" w:rsidTr="00EF1CB7">
        <w:trPr>
          <w:trHeight w:val="225"/>
        </w:trPr>
        <w:tc>
          <w:tcPr>
            <w:tcW w:w="2977" w:type="dxa"/>
            <w:shd w:val="clear" w:color="auto" w:fill="DEEAF6" w:themeFill="accent1" w:themeFillTint="33"/>
            <w:noWrap/>
            <w:vAlign w:val="center"/>
            <w:hideMark/>
          </w:tcPr>
          <w:p w14:paraId="60501562" w14:textId="77777777" w:rsidR="00F6764A" w:rsidRPr="005A7D49" w:rsidRDefault="00F6764A" w:rsidP="00F6764A">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Výdavky na elektronický výber mýta</w:t>
            </w:r>
          </w:p>
        </w:tc>
        <w:tc>
          <w:tcPr>
            <w:tcW w:w="1380" w:type="dxa"/>
            <w:shd w:val="clear" w:color="auto" w:fill="auto"/>
            <w:noWrap/>
            <w:vAlign w:val="center"/>
            <w:hideMark/>
          </w:tcPr>
          <w:p w14:paraId="7B512AF6" w14:textId="7369629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-4 005 437</w:t>
            </w:r>
          </w:p>
        </w:tc>
        <w:tc>
          <w:tcPr>
            <w:tcW w:w="1000" w:type="dxa"/>
            <w:shd w:val="clear" w:color="auto" w:fill="auto"/>
            <w:noWrap/>
            <w:vAlign w:val="center"/>
            <w:hideMark/>
          </w:tcPr>
          <w:p w14:paraId="73EA21D1" w14:textId="2CF7D5F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2 434 862</w:t>
            </w:r>
          </w:p>
        </w:tc>
        <w:tc>
          <w:tcPr>
            <w:tcW w:w="980" w:type="dxa"/>
            <w:shd w:val="clear" w:color="auto" w:fill="auto"/>
            <w:noWrap/>
            <w:vAlign w:val="center"/>
            <w:hideMark/>
          </w:tcPr>
          <w:p w14:paraId="782031E7" w14:textId="3AD8CEB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-135 419</w:t>
            </w:r>
          </w:p>
        </w:tc>
        <w:tc>
          <w:tcPr>
            <w:tcW w:w="980" w:type="dxa"/>
            <w:shd w:val="clear" w:color="auto" w:fill="auto"/>
            <w:noWrap/>
            <w:vAlign w:val="center"/>
            <w:hideMark/>
          </w:tcPr>
          <w:p w14:paraId="0627692D" w14:textId="2A7FBFE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-1 173 156</w:t>
            </w:r>
          </w:p>
        </w:tc>
        <w:tc>
          <w:tcPr>
            <w:tcW w:w="980" w:type="dxa"/>
            <w:shd w:val="clear" w:color="auto" w:fill="auto"/>
            <w:noWrap/>
            <w:vAlign w:val="center"/>
            <w:hideMark/>
          </w:tcPr>
          <w:p w14:paraId="30FA995F" w14:textId="01F14D2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-2 244 600</w:t>
            </w:r>
          </w:p>
        </w:tc>
        <w:tc>
          <w:tcPr>
            <w:tcW w:w="980" w:type="dxa"/>
            <w:shd w:val="clear" w:color="auto" w:fill="auto"/>
            <w:noWrap/>
            <w:vAlign w:val="center"/>
            <w:hideMark/>
          </w:tcPr>
          <w:p w14:paraId="18DAA9EE" w14:textId="21294A9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-2 887 123</w:t>
            </w:r>
          </w:p>
        </w:tc>
      </w:tr>
      <w:tr w:rsidR="00F6764A" w:rsidRPr="00313F9C" w14:paraId="6AFB92CA" w14:textId="77777777" w:rsidTr="00EF1CB7">
        <w:trPr>
          <w:trHeight w:val="225"/>
        </w:trPr>
        <w:tc>
          <w:tcPr>
            <w:tcW w:w="2977" w:type="dxa"/>
            <w:shd w:val="clear" w:color="auto" w:fill="DEEAF6" w:themeFill="accent1" w:themeFillTint="33"/>
            <w:noWrap/>
            <w:vAlign w:val="center"/>
            <w:hideMark/>
          </w:tcPr>
          <w:p w14:paraId="34F2AC9E" w14:textId="77777777" w:rsidR="00F6764A" w:rsidRPr="005A7D49" w:rsidRDefault="00F6764A" w:rsidP="00F6764A">
            <w:pPr>
              <w:spacing w:before="0" w:after="0" w:line="240" w:lineRule="auto"/>
              <w:jc w:val="left"/>
              <w:rPr>
                <w:rFonts w:asciiTheme="minorHAnsi" w:hAnsiTheme="minorHAnsi" w:cstheme="minorHAnsi"/>
                <w:sz w:val="18"/>
                <w:szCs w:val="18"/>
              </w:rPr>
            </w:pPr>
            <w:r w:rsidRPr="005A7D49">
              <w:rPr>
                <w:rFonts w:asciiTheme="minorHAnsi" w:hAnsiTheme="minorHAnsi" w:cstheme="minorHAnsi"/>
                <w:sz w:val="18"/>
                <w:szCs w:val="18"/>
              </w:rPr>
              <w:t>Iné špecifické výdavky</w:t>
            </w:r>
          </w:p>
        </w:tc>
        <w:tc>
          <w:tcPr>
            <w:tcW w:w="1380" w:type="dxa"/>
            <w:shd w:val="clear" w:color="auto" w:fill="auto"/>
            <w:noWrap/>
            <w:vAlign w:val="center"/>
            <w:hideMark/>
          </w:tcPr>
          <w:p w14:paraId="5CD4F081" w14:textId="481EC3D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1000" w:type="dxa"/>
            <w:shd w:val="clear" w:color="auto" w:fill="auto"/>
            <w:noWrap/>
            <w:vAlign w:val="center"/>
            <w:hideMark/>
          </w:tcPr>
          <w:p w14:paraId="701B6D29" w14:textId="5F4C0929"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6737B81A" w14:textId="030865F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5F9EA12C" w14:textId="743CF9D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639A0C1E" w14:textId="624A8F8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c>
          <w:tcPr>
            <w:tcW w:w="980" w:type="dxa"/>
            <w:shd w:val="clear" w:color="auto" w:fill="auto"/>
            <w:noWrap/>
            <w:vAlign w:val="center"/>
            <w:hideMark/>
          </w:tcPr>
          <w:p w14:paraId="27CFD3C2" w14:textId="6170B20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6"/>
              </w:rPr>
              <w:t>0</w:t>
            </w:r>
          </w:p>
        </w:tc>
      </w:tr>
      <w:tr w:rsidR="00F6764A" w:rsidRPr="00313F9C" w14:paraId="514239EF" w14:textId="77777777" w:rsidTr="00EF1CB7">
        <w:trPr>
          <w:trHeight w:val="240"/>
        </w:trPr>
        <w:tc>
          <w:tcPr>
            <w:tcW w:w="2977" w:type="dxa"/>
            <w:shd w:val="clear" w:color="auto" w:fill="DEEAF6" w:themeFill="accent1" w:themeFillTint="33"/>
            <w:noWrap/>
            <w:vAlign w:val="center"/>
            <w:hideMark/>
          </w:tcPr>
          <w:p w14:paraId="503B3D01" w14:textId="77777777" w:rsidR="00F6764A" w:rsidRPr="005A7D49" w:rsidRDefault="00F6764A" w:rsidP="00F6764A">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iné špecifické prevádzkové výdavky</w:t>
            </w:r>
          </w:p>
        </w:tc>
        <w:tc>
          <w:tcPr>
            <w:tcW w:w="1380" w:type="dxa"/>
            <w:shd w:val="clear" w:color="auto" w:fill="auto"/>
            <w:noWrap/>
            <w:vAlign w:val="center"/>
            <w:hideMark/>
          </w:tcPr>
          <w:p w14:paraId="0BA01F51" w14:textId="3B6A0EFB"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-4 005 437</w:t>
            </w:r>
          </w:p>
        </w:tc>
        <w:tc>
          <w:tcPr>
            <w:tcW w:w="1000" w:type="dxa"/>
            <w:shd w:val="clear" w:color="auto" w:fill="auto"/>
            <w:noWrap/>
            <w:vAlign w:val="center"/>
            <w:hideMark/>
          </w:tcPr>
          <w:p w14:paraId="18DE12A3" w14:textId="6ECD909E"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2 434 862</w:t>
            </w:r>
          </w:p>
        </w:tc>
        <w:tc>
          <w:tcPr>
            <w:tcW w:w="980" w:type="dxa"/>
            <w:shd w:val="clear" w:color="auto" w:fill="auto"/>
            <w:noWrap/>
            <w:vAlign w:val="center"/>
            <w:hideMark/>
          </w:tcPr>
          <w:p w14:paraId="1A7DB123" w14:textId="19038F7D"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-135 419</w:t>
            </w:r>
          </w:p>
        </w:tc>
        <w:tc>
          <w:tcPr>
            <w:tcW w:w="980" w:type="dxa"/>
            <w:shd w:val="clear" w:color="auto" w:fill="auto"/>
            <w:noWrap/>
            <w:vAlign w:val="center"/>
            <w:hideMark/>
          </w:tcPr>
          <w:p w14:paraId="63014ED9" w14:textId="38A47631"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-1 173 156</w:t>
            </w:r>
          </w:p>
        </w:tc>
        <w:tc>
          <w:tcPr>
            <w:tcW w:w="980" w:type="dxa"/>
            <w:shd w:val="clear" w:color="auto" w:fill="auto"/>
            <w:noWrap/>
            <w:vAlign w:val="center"/>
            <w:hideMark/>
          </w:tcPr>
          <w:p w14:paraId="443AD172" w14:textId="18571018"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-2 244 600</w:t>
            </w:r>
          </w:p>
        </w:tc>
        <w:tc>
          <w:tcPr>
            <w:tcW w:w="980" w:type="dxa"/>
            <w:shd w:val="clear" w:color="auto" w:fill="auto"/>
            <w:noWrap/>
            <w:vAlign w:val="center"/>
            <w:hideMark/>
          </w:tcPr>
          <w:p w14:paraId="1F81CA7F" w14:textId="5F11177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-2 887 123</w:t>
            </w:r>
          </w:p>
        </w:tc>
      </w:tr>
      <w:tr w:rsidR="00F6764A" w:rsidRPr="00313F9C" w14:paraId="686625E3" w14:textId="77777777" w:rsidTr="00EF1CB7">
        <w:trPr>
          <w:trHeight w:val="240"/>
        </w:trPr>
        <w:tc>
          <w:tcPr>
            <w:tcW w:w="2977" w:type="dxa"/>
            <w:shd w:val="clear" w:color="auto" w:fill="BDD6EE" w:themeFill="accent1" w:themeFillTint="66"/>
            <w:noWrap/>
            <w:vAlign w:val="center"/>
            <w:hideMark/>
          </w:tcPr>
          <w:p w14:paraId="74B570D2" w14:textId="77777777" w:rsidR="00F6764A" w:rsidRPr="005A7D49" w:rsidRDefault="00F6764A" w:rsidP="00F6764A">
            <w:pPr>
              <w:spacing w:before="0" w:after="0" w:line="240" w:lineRule="auto"/>
              <w:jc w:val="left"/>
              <w:rPr>
                <w:rFonts w:asciiTheme="minorHAnsi" w:hAnsiTheme="minorHAnsi" w:cstheme="minorHAnsi"/>
                <w:b/>
                <w:bCs/>
                <w:sz w:val="18"/>
                <w:szCs w:val="18"/>
              </w:rPr>
            </w:pPr>
            <w:r w:rsidRPr="005A7D49">
              <w:rPr>
                <w:rFonts w:asciiTheme="minorHAnsi" w:hAnsiTheme="minorHAnsi" w:cstheme="minorHAnsi"/>
                <w:b/>
                <w:bCs/>
                <w:sz w:val="18"/>
                <w:szCs w:val="18"/>
              </w:rPr>
              <w:t>Celkové prevádzkové výdavky</w:t>
            </w:r>
          </w:p>
        </w:tc>
        <w:tc>
          <w:tcPr>
            <w:tcW w:w="1380" w:type="dxa"/>
            <w:shd w:val="clear" w:color="auto" w:fill="BDD6EE" w:themeFill="accent1" w:themeFillTint="66"/>
            <w:noWrap/>
            <w:vAlign w:val="center"/>
            <w:hideMark/>
          </w:tcPr>
          <w:p w14:paraId="6FB610D0" w14:textId="2DBE63FC"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-4 005 437</w:t>
            </w:r>
          </w:p>
        </w:tc>
        <w:tc>
          <w:tcPr>
            <w:tcW w:w="1000" w:type="dxa"/>
            <w:shd w:val="clear" w:color="auto" w:fill="BDD6EE" w:themeFill="accent1" w:themeFillTint="66"/>
            <w:noWrap/>
            <w:vAlign w:val="center"/>
            <w:hideMark/>
          </w:tcPr>
          <w:p w14:paraId="36AFE463" w14:textId="7C0E8B04"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2 434 862</w:t>
            </w:r>
          </w:p>
        </w:tc>
        <w:tc>
          <w:tcPr>
            <w:tcW w:w="980" w:type="dxa"/>
            <w:shd w:val="clear" w:color="auto" w:fill="BDD6EE" w:themeFill="accent1" w:themeFillTint="66"/>
            <w:noWrap/>
            <w:vAlign w:val="center"/>
            <w:hideMark/>
          </w:tcPr>
          <w:p w14:paraId="14D9884D" w14:textId="54F81BCD"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-135 419</w:t>
            </w:r>
          </w:p>
        </w:tc>
        <w:tc>
          <w:tcPr>
            <w:tcW w:w="980" w:type="dxa"/>
            <w:shd w:val="clear" w:color="auto" w:fill="BDD6EE" w:themeFill="accent1" w:themeFillTint="66"/>
            <w:noWrap/>
            <w:vAlign w:val="center"/>
            <w:hideMark/>
          </w:tcPr>
          <w:p w14:paraId="784EBFBF" w14:textId="4D4F715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-1 173 156</w:t>
            </w:r>
          </w:p>
        </w:tc>
        <w:tc>
          <w:tcPr>
            <w:tcW w:w="980" w:type="dxa"/>
            <w:shd w:val="clear" w:color="auto" w:fill="BDD6EE" w:themeFill="accent1" w:themeFillTint="66"/>
            <w:noWrap/>
            <w:vAlign w:val="center"/>
            <w:hideMark/>
          </w:tcPr>
          <w:p w14:paraId="001EF10F" w14:textId="7BBC300E"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-2 244 600</w:t>
            </w:r>
          </w:p>
        </w:tc>
        <w:tc>
          <w:tcPr>
            <w:tcW w:w="980" w:type="dxa"/>
            <w:shd w:val="clear" w:color="auto" w:fill="BDD6EE" w:themeFill="accent1" w:themeFillTint="66"/>
            <w:noWrap/>
            <w:vAlign w:val="center"/>
            <w:hideMark/>
          </w:tcPr>
          <w:p w14:paraId="3E128ADD" w14:textId="7D8C894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6"/>
              </w:rPr>
              <w:t>-2 887 123</w:t>
            </w:r>
          </w:p>
        </w:tc>
      </w:tr>
    </w:tbl>
    <w:p w14:paraId="31C86961" w14:textId="29E05A43" w:rsidR="005A7D49" w:rsidRDefault="005A7D49" w:rsidP="005A7D49">
      <w:pPr>
        <w:rPr>
          <w:i/>
          <w:sz w:val="16"/>
        </w:rPr>
      </w:pPr>
      <w:r w:rsidRPr="00DA4343">
        <w:rPr>
          <w:i/>
          <w:sz w:val="16"/>
        </w:rPr>
        <w:t xml:space="preserve">Zdroj: Príloha </w:t>
      </w:r>
      <w:r w:rsidR="00090490">
        <w:rPr>
          <w:i/>
          <w:sz w:val="16"/>
        </w:rPr>
        <w:t>2</w:t>
      </w:r>
      <w:r w:rsidRPr="00DA4343">
        <w:rPr>
          <w:i/>
          <w:sz w:val="16"/>
        </w:rPr>
        <w:t xml:space="preserve">, hárok </w:t>
      </w:r>
      <w:r>
        <w:rPr>
          <w:i/>
          <w:sz w:val="16"/>
        </w:rPr>
        <w:t>03</w:t>
      </w:r>
    </w:p>
    <w:p w14:paraId="1EF37F7A" w14:textId="77777777" w:rsidR="004C1394" w:rsidRDefault="004C1394" w:rsidP="005A7D49">
      <w:pPr>
        <w:rPr>
          <w:i/>
          <w:sz w:val="16"/>
        </w:rPr>
      </w:pPr>
    </w:p>
    <w:p w14:paraId="67915911" w14:textId="19CF4D8D"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60</w:t>
      </w:r>
      <w:r>
        <w:fldChar w:fldCharType="end"/>
      </w:r>
      <w:r>
        <w:t xml:space="preserve"> – Prevádzkové výdavky, použité fiškálne konverzné faktory</w:t>
      </w:r>
    </w:p>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261"/>
        <w:gridCol w:w="1842"/>
        <w:gridCol w:w="4111"/>
      </w:tblGrid>
      <w:tr w:rsidR="005A7D49" w:rsidRPr="00260FF6" w14:paraId="1C58058D" w14:textId="77777777" w:rsidTr="005A7D49">
        <w:trPr>
          <w:trHeight w:val="225"/>
        </w:trPr>
        <w:tc>
          <w:tcPr>
            <w:tcW w:w="5103" w:type="dxa"/>
            <w:gridSpan w:val="2"/>
            <w:vMerge w:val="restart"/>
            <w:shd w:val="clear" w:color="auto" w:fill="BDD6EE" w:themeFill="accent1" w:themeFillTint="66"/>
            <w:noWrap/>
            <w:vAlign w:val="center"/>
          </w:tcPr>
          <w:p w14:paraId="4E12BEC3" w14:textId="77777777"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Fiškálne konverzné faktory</w:t>
            </w:r>
          </w:p>
        </w:tc>
        <w:tc>
          <w:tcPr>
            <w:tcW w:w="4111" w:type="dxa"/>
            <w:shd w:val="clear" w:color="auto" w:fill="BDD6EE" w:themeFill="accent1" w:themeFillTint="66"/>
            <w:vAlign w:val="center"/>
          </w:tcPr>
          <w:p w14:paraId="402D13A9" w14:textId="77777777"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Rozdelenie nákladov na výrobné faktory</w:t>
            </w:r>
          </w:p>
        </w:tc>
      </w:tr>
      <w:tr w:rsidR="005A7D49" w:rsidRPr="00260FF6" w14:paraId="2ABB191B" w14:textId="77777777" w:rsidTr="005A7D49">
        <w:trPr>
          <w:trHeight w:val="225"/>
        </w:trPr>
        <w:tc>
          <w:tcPr>
            <w:tcW w:w="5103" w:type="dxa"/>
            <w:gridSpan w:val="2"/>
            <w:vMerge/>
            <w:shd w:val="clear" w:color="auto" w:fill="BDD6EE" w:themeFill="accent1" w:themeFillTint="66"/>
            <w:noWrap/>
            <w:vAlign w:val="center"/>
          </w:tcPr>
          <w:p w14:paraId="77D9ACD0" w14:textId="77777777" w:rsidR="005A7D49" w:rsidRPr="00260FF6" w:rsidRDefault="005A7D49" w:rsidP="005A7D49">
            <w:pPr>
              <w:spacing w:before="0" w:after="0" w:line="240" w:lineRule="auto"/>
              <w:jc w:val="center"/>
              <w:rPr>
                <w:rFonts w:asciiTheme="minorHAnsi" w:hAnsiTheme="minorHAnsi" w:cs="Arial"/>
                <w:sz w:val="18"/>
                <w:szCs w:val="18"/>
              </w:rPr>
            </w:pPr>
          </w:p>
        </w:tc>
        <w:tc>
          <w:tcPr>
            <w:tcW w:w="4111" w:type="dxa"/>
            <w:shd w:val="clear" w:color="auto" w:fill="BDD6EE" w:themeFill="accent1" w:themeFillTint="66"/>
            <w:vAlign w:val="center"/>
          </w:tcPr>
          <w:p w14:paraId="74C7A969" w14:textId="77777777" w:rsidR="005A7D49" w:rsidRPr="00260FF6" w:rsidRDefault="005A7D49" w:rsidP="005A7D49">
            <w:pPr>
              <w:spacing w:before="0" w:after="0" w:line="240" w:lineRule="auto"/>
              <w:jc w:val="center"/>
              <w:rPr>
                <w:rFonts w:asciiTheme="minorHAnsi" w:hAnsiTheme="minorHAnsi" w:cs="Arial"/>
                <w:sz w:val="18"/>
                <w:szCs w:val="18"/>
              </w:rPr>
            </w:pPr>
            <w:r>
              <w:rPr>
                <w:rFonts w:asciiTheme="minorHAnsi" w:hAnsiTheme="minorHAnsi" w:cs="Arial"/>
                <w:sz w:val="18"/>
                <w:szCs w:val="18"/>
              </w:rPr>
              <w:t>Prevádzka mýta</w:t>
            </w:r>
          </w:p>
        </w:tc>
      </w:tr>
      <w:tr w:rsidR="005A7D49" w:rsidRPr="00260FF6" w14:paraId="27551CF9" w14:textId="77777777" w:rsidTr="005A7D49">
        <w:trPr>
          <w:trHeight w:val="225"/>
        </w:trPr>
        <w:tc>
          <w:tcPr>
            <w:tcW w:w="3261" w:type="dxa"/>
            <w:shd w:val="clear" w:color="auto" w:fill="DEEAF6" w:themeFill="accent1" w:themeFillTint="33"/>
            <w:noWrap/>
            <w:vAlign w:val="center"/>
            <w:hideMark/>
          </w:tcPr>
          <w:p w14:paraId="66BEF34D" w14:textId="77777777" w:rsidR="005A7D49" w:rsidRPr="00AD32AA" w:rsidRDefault="005A7D49" w:rsidP="005A7D49">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Personálne výdavky</w:t>
            </w:r>
          </w:p>
        </w:tc>
        <w:tc>
          <w:tcPr>
            <w:tcW w:w="1842" w:type="dxa"/>
            <w:shd w:val="clear" w:color="auto" w:fill="auto"/>
            <w:noWrap/>
            <w:vAlign w:val="center"/>
            <w:hideMark/>
          </w:tcPr>
          <w:p w14:paraId="4688D0A6" w14:textId="77777777" w:rsidR="005A7D49" w:rsidRPr="00AD32AA" w:rsidRDefault="005A7D49" w:rsidP="005A7D49">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0,9</w:t>
            </w:r>
          </w:p>
        </w:tc>
        <w:tc>
          <w:tcPr>
            <w:tcW w:w="4111" w:type="dxa"/>
            <w:vAlign w:val="center"/>
          </w:tcPr>
          <w:p w14:paraId="09B95DEE" w14:textId="1FEE4C0E" w:rsidR="005A7D49" w:rsidRPr="00260FF6" w:rsidRDefault="005A7D49" w:rsidP="005A7D49">
            <w:pPr>
              <w:spacing w:before="0" w:after="0" w:line="240" w:lineRule="auto"/>
              <w:jc w:val="center"/>
              <w:rPr>
                <w:rFonts w:asciiTheme="minorHAnsi" w:hAnsiTheme="minorHAnsi" w:cs="Arial"/>
                <w:sz w:val="18"/>
                <w:szCs w:val="18"/>
              </w:rPr>
            </w:pPr>
            <w:r>
              <w:rPr>
                <w:rFonts w:asciiTheme="minorHAnsi" w:hAnsiTheme="minorHAnsi" w:cs="Arial"/>
                <w:sz w:val="18"/>
                <w:szCs w:val="18"/>
              </w:rPr>
              <w:t>4</w:t>
            </w:r>
            <w:r w:rsidRPr="00260FF6">
              <w:rPr>
                <w:rFonts w:asciiTheme="minorHAnsi" w:hAnsiTheme="minorHAnsi" w:cs="Arial"/>
                <w:sz w:val="18"/>
                <w:szCs w:val="18"/>
              </w:rPr>
              <w:t>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5A7D49" w:rsidRPr="00260FF6" w14:paraId="63F3C48F" w14:textId="77777777" w:rsidTr="005A7D49">
        <w:trPr>
          <w:trHeight w:val="225"/>
        </w:trPr>
        <w:tc>
          <w:tcPr>
            <w:tcW w:w="3261" w:type="dxa"/>
            <w:shd w:val="clear" w:color="auto" w:fill="DEEAF6" w:themeFill="accent1" w:themeFillTint="33"/>
            <w:noWrap/>
            <w:vAlign w:val="center"/>
            <w:hideMark/>
          </w:tcPr>
          <w:p w14:paraId="07454810" w14:textId="77777777" w:rsidR="005A7D49" w:rsidRPr="00AD32AA" w:rsidRDefault="005A7D49" w:rsidP="005A7D49">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Pohonné hmoty</w:t>
            </w:r>
          </w:p>
        </w:tc>
        <w:tc>
          <w:tcPr>
            <w:tcW w:w="1842" w:type="dxa"/>
            <w:shd w:val="clear" w:color="auto" w:fill="auto"/>
            <w:noWrap/>
            <w:vAlign w:val="center"/>
            <w:hideMark/>
          </w:tcPr>
          <w:p w14:paraId="07EA4BDB" w14:textId="77777777" w:rsidR="005A7D49" w:rsidRPr="00AD32AA" w:rsidRDefault="005A7D49" w:rsidP="005A7D49">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0,5</w:t>
            </w:r>
          </w:p>
        </w:tc>
        <w:tc>
          <w:tcPr>
            <w:tcW w:w="4111" w:type="dxa"/>
            <w:vAlign w:val="center"/>
          </w:tcPr>
          <w:p w14:paraId="426CD352" w14:textId="6CAC0294" w:rsidR="005A7D49" w:rsidRPr="00260FF6" w:rsidRDefault="005A7D49" w:rsidP="005A7D49">
            <w:pPr>
              <w:spacing w:before="0" w:after="0" w:line="240" w:lineRule="auto"/>
              <w:jc w:val="center"/>
              <w:rPr>
                <w:rFonts w:asciiTheme="minorHAnsi" w:hAnsiTheme="minorHAnsi" w:cs="Arial"/>
                <w:sz w:val="18"/>
                <w:szCs w:val="18"/>
              </w:rPr>
            </w:pPr>
            <w:r w:rsidRPr="00260FF6">
              <w:rPr>
                <w:rFonts w:asciiTheme="minorHAnsi" w:hAnsiTheme="minorHAnsi" w:cs="Arial"/>
                <w:sz w:val="18"/>
                <w:szCs w:val="18"/>
              </w:rPr>
              <w:t>15</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r w:rsidR="005A7D49" w:rsidRPr="00260FF6" w14:paraId="749F5E3F" w14:textId="77777777" w:rsidTr="005A7D49">
        <w:trPr>
          <w:trHeight w:val="225"/>
        </w:trPr>
        <w:tc>
          <w:tcPr>
            <w:tcW w:w="3261" w:type="dxa"/>
            <w:shd w:val="clear" w:color="auto" w:fill="DEEAF6" w:themeFill="accent1" w:themeFillTint="33"/>
            <w:noWrap/>
            <w:vAlign w:val="center"/>
            <w:hideMark/>
          </w:tcPr>
          <w:p w14:paraId="19C87EA3" w14:textId="77777777" w:rsidR="005A7D49" w:rsidRPr="00AD32AA" w:rsidRDefault="005A7D49" w:rsidP="005A7D49">
            <w:pPr>
              <w:spacing w:before="0" w:after="0" w:line="240" w:lineRule="auto"/>
              <w:jc w:val="left"/>
              <w:rPr>
                <w:rFonts w:asciiTheme="minorHAnsi" w:hAnsiTheme="minorHAnsi" w:cs="Arial"/>
                <w:sz w:val="18"/>
                <w:szCs w:val="18"/>
              </w:rPr>
            </w:pPr>
            <w:r w:rsidRPr="00AD32AA">
              <w:rPr>
                <w:rFonts w:asciiTheme="minorHAnsi" w:hAnsiTheme="minorHAnsi" w:cs="Arial"/>
                <w:sz w:val="18"/>
                <w:szCs w:val="18"/>
              </w:rPr>
              <w:t>Materiál a osta</w:t>
            </w:r>
            <w:r>
              <w:rPr>
                <w:rFonts w:asciiTheme="minorHAnsi" w:hAnsiTheme="minorHAnsi" w:cs="Arial"/>
                <w:sz w:val="18"/>
                <w:szCs w:val="18"/>
              </w:rPr>
              <w:t>t</w:t>
            </w:r>
            <w:r w:rsidRPr="00AD32AA">
              <w:rPr>
                <w:rFonts w:asciiTheme="minorHAnsi" w:hAnsiTheme="minorHAnsi" w:cs="Arial"/>
                <w:sz w:val="18"/>
                <w:szCs w:val="18"/>
              </w:rPr>
              <w:t>né zdroje</w:t>
            </w:r>
          </w:p>
        </w:tc>
        <w:tc>
          <w:tcPr>
            <w:tcW w:w="1842" w:type="dxa"/>
            <w:shd w:val="clear" w:color="auto" w:fill="auto"/>
            <w:noWrap/>
            <w:vAlign w:val="center"/>
            <w:hideMark/>
          </w:tcPr>
          <w:p w14:paraId="3BAF0124" w14:textId="77777777" w:rsidR="005A7D49" w:rsidRPr="00AD32AA" w:rsidRDefault="005A7D49" w:rsidP="005A7D49">
            <w:pPr>
              <w:spacing w:before="0" w:after="0" w:line="240" w:lineRule="auto"/>
              <w:jc w:val="center"/>
              <w:rPr>
                <w:rFonts w:asciiTheme="minorHAnsi" w:hAnsiTheme="minorHAnsi" w:cs="Arial"/>
                <w:b/>
                <w:sz w:val="18"/>
                <w:szCs w:val="18"/>
              </w:rPr>
            </w:pPr>
            <w:r w:rsidRPr="00AD32AA">
              <w:rPr>
                <w:rFonts w:asciiTheme="minorHAnsi" w:hAnsiTheme="minorHAnsi" w:cs="Arial"/>
                <w:b/>
                <w:sz w:val="18"/>
                <w:szCs w:val="18"/>
              </w:rPr>
              <w:t>1,0</w:t>
            </w:r>
          </w:p>
        </w:tc>
        <w:tc>
          <w:tcPr>
            <w:tcW w:w="4111" w:type="dxa"/>
            <w:vAlign w:val="center"/>
          </w:tcPr>
          <w:p w14:paraId="43CB9852" w14:textId="07CC6901" w:rsidR="005A7D49" w:rsidRPr="00260FF6" w:rsidRDefault="005A7D49" w:rsidP="005A7D49">
            <w:pPr>
              <w:spacing w:before="0" w:after="0" w:line="240" w:lineRule="auto"/>
              <w:jc w:val="center"/>
              <w:rPr>
                <w:rFonts w:asciiTheme="minorHAnsi" w:hAnsiTheme="minorHAnsi" w:cs="Arial"/>
                <w:sz w:val="18"/>
                <w:szCs w:val="18"/>
              </w:rPr>
            </w:pPr>
            <w:r>
              <w:rPr>
                <w:rFonts w:asciiTheme="minorHAnsi" w:hAnsiTheme="minorHAnsi" w:cs="Arial"/>
                <w:sz w:val="18"/>
                <w:szCs w:val="18"/>
              </w:rPr>
              <w:t>4</w:t>
            </w:r>
            <w:r w:rsidRPr="00260FF6">
              <w:rPr>
                <w:rFonts w:asciiTheme="minorHAnsi" w:hAnsiTheme="minorHAnsi" w:cs="Arial"/>
                <w:sz w:val="18"/>
                <w:szCs w:val="18"/>
              </w:rPr>
              <w:t>0</w:t>
            </w:r>
            <w:r w:rsidR="00532C7C">
              <w:rPr>
                <w:rFonts w:asciiTheme="minorHAnsi" w:hAnsiTheme="minorHAnsi" w:cs="Arial"/>
                <w:sz w:val="18"/>
                <w:szCs w:val="18"/>
              </w:rPr>
              <w:t xml:space="preserve"> </w:t>
            </w:r>
            <w:r w:rsidRPr="00260FF6">
              <w:rPr>
                <w:rFonts w:asciiTheme="minorHAnsi" w:hAnsiTheme="minorHAnsi" w:cs="Arial"/>
                <w:sz w:val="18"/>
                <w:szCs w:val="18"/>
              </w:rPr>
              <w:t>%</w:t>
            </w:r>
          </w:p>
        </w:tc>
      </w:tr>
    </w:tbl>
    <w:p w14:paraId="20EF9CA3" w14:textId="045C91EC" w:rsidR="005A7D49" w:rsidRDefault="005A7D49" w:rsidP="005A7D49">
      <w:pPr>
        <w:rPr>
          <w:i/>
          <w:sz w:val="16"/>
        </w:rPr>
      </w:pPr>
      <w:r w:rsidRPr="00DA4343">
        <w:rPr>
          <w:i/>
          <w:sz w:val="16"/>
        </w:rPr>
        <w:t xml:space="preserve">Zdroj: Príloha </w:t>
      </w:r>
      <w:r w:rsidR="00090490">
        <w:rPr>
          <w:i/>
          <w:sz w:val="16"/>
        </w:rPr>
        <w:t>2</w:t>
      </w:r>
      <w:r w:rsidRPr="00DA4343">
        <w:rPr>
          <w:i/>
          <w:sz w:val="16"/>
        </w:rPr>
        <w:t xml:space="preserve">, hárok </w:t>
      </w:r>
      <w:r>
        <w:rPr>
          <w:i/>
          <w:sz w:val="16"/>
        </w:rPr>
        <w:t>‚Parametre‘</w:t>
      </w:r>
    </w:p>
    <w:p w14:paraId="6E56CD92" w14:textId="77777777" w:rsidR="004C1394" w:rsidRDefault="004C1394" w:rsidP="005A7D49">
      <w:pPr>
        <w:rPr>
          <w:i/>
          <w:sz w:val="16"/>
        </w:rPr>
      </w:pPr>
    </w:p>
    <w:p w14:paraId="2204A4B7" w14:textId="77777777" w:rsidR="005A7D49" w:rsidRDefault="005A7D49" w:rsidP="00A40297">
      <w:pPr>
        <w:pStyle w:val="Heading3"/>
      </w:pPr>
      <w:bookmarkStart w:id="186" w:name="_Toc87348768"/>
      <w:r>
        <w:t>Prevádzkové príjmy – inkrementálne</w:t>
      </w:r>
      <w:bookmarkEnd w:id="186"/>
      <w:r>
        <w:t xml:space="preserve"> </w:t>
      </w:r>
    </w:p>
    <w:p w14:paraId="272FBFF2" w14:textId="7A00DB62" w:rsidR="005A7D49" w:rsidRDefault="005A7D49" w:rsidP="005A7D49">
      <w:r>
        <w:t>Inkrementálne prevádzkové príjmy sú stanovené ako rozdiel príjmov variantu 2 a príjmov nulového variantu.</w:t>
      </w:r>
    </w:p>
    <w:p w14:paraId="6DE37AFB" w14:textId="2A41A91D"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61</w:t>
      </w:r>
      <w:r>
        <w:fldChar w:fldCharType="end"/>
      </w:r>
      <w:r>
        <w:t xml:space="preserve"> - Prevádzkové príjmy, inkrementálne</w:t>
      </w:r>
    </w:p>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2977"/>
        <w:gridCol w:w="1039"/>
        <w:gridCol w:w="1040"/>
        <w:gridCol w:w="1039"/>
        <w:gridCol w:w="1040"/>
        <w:gridCol w:w="1039"/>
        <w:gridCol w:w="1040"/>
      </w:tblGrid>
      <w:tr w:rsidR="005A7D49" w:rsidRPr="004E0519" w14:paraId="48011778" w14:textId="77777777" w:rsidTr="005A7D49">
        <w:trPr>
          <w:trHeight w:val="225"/>
        </w:trPr>
        <w:tc>
          <w:tcPr>
            <w:tcW w:w="2977" w:type="dxa"/>
            <w:shd w:val="clear" w:color="auto" w:fill="BDD6EE" w:themeFill="accent1" w:themeFillTint="66"/>
            <w:noWrap/>
            <w:vAlign w:val="bottom"/>
            <w:hideMark/>
          </w:tcPr>
          <w:p w14:paraId="4AF1E7BE" w14:textId="77777777" w:rsidR="005A7D49" w:rsidRPr="004E0519" w:rsidRDefault="005A7D49" w:rsidP="005A7D49">
            <w:pPr>
              <w:spacing w:before="0" w:after="0" w:line="240" w:lineRule="auto"/>
              <w:jc w:val="left"/>
              <w:rPr>
                <w:rFonts w:asciiTheme="minorHAnsi" w:hAnsiTheme="minorHAnsi" w:cs="Arial"/>
                <w:b/>
                <w:bCs/>
                <w:sz w:val="18"/>
                <w:szCs w:val="16"/>
              </w:rPr>
            </w:pPr>
            <w:r w:rsidRPr="004E0519">
              <w:rPr>
                <w:rFonts w:asciiTheme="minorHAnsi" w:hAnsiTheme="minorHAnsi" w:cs="Arial"/>
                <w:b/>
                <w:bCs/>
                <w:sz w:val="18"/>
                <w:szCs w:val="16"/>
              </w:rPr>
              <w:t> </w:t>
            </w:r>
            <w:r w:rsidRPr="00447F44">
              <w:rPr>
                <w:rFonts w:asciiTheme="minorHAnsi" w:hAnsiTheme="minorHAnsi" w:cs="Arial"/>
                <w:b/>
                <w:bCs/>
                <w:sz w:val="18"/>
                <w:szCs w:val="16"/>
              </w:rPr>
              <w:t>4.3 INKREMENTÁLNE príjmy</w:t>
            </w:r>
          </w:p>
        </w:tc>
        <w:tc>
          <w:tcPr>
            <w:tcW w:w="1039" w:type="dxa"/>
            <w:shd w:val="clear" w:color="auto" w:fill="BDD6EE" w:themeFill="accent1" w:themeFillTint="66"/>
            <w:noWrap/>
            <w:vAlign w:val="center"/>
            <w:hideMark/>
          </w:tcPr>
          <w:p w14:paraId="3D5447E7" w14:textId="77777777" w:rsidR="005A7D49" w:rsidRPr="004E0519" w:rsidRDefault="005A7D49" w:rsidP="005A7D49">
            <w:pPr>
              <w:spacing w:before="0" w:after="0" w:line="240" w:lineRule="auto"/>
              <w:jc w:val="center"/>
              <w:rPr>
                <w:rFonts w:asciiTheme="minorHAnsi" w:hAnsiTheme="minorHAnsi" w:cs="Arial"/>
                <w:bCs/>
                <w:sz w:val="18"/>
                <w:szCs w:val="16"/>
              </w:rPr>
            </w:pPr>
            <w:r w:rsidRPr="004E0519">
              <w:rPr>
                <w:rFonts w:asciiTheme="minorHAnsi" w:hAnsiTheme="minorHAnsi" w:cs="Arial"/>
                <w:bCs/>
                <w:sz w:val="18"/>
                <w:szCs w:val="16"/>
              </w:rPr>
              <w:t>Celkom</w:t>
            </w:r>
          </w:p>
        </w:tc>
        <w:tc>
          <w:tcPr>
            <w:tcW w:w="1040" w:type="dxa"/>
            <w:shd w:val="clear" w:color="auto" w:fill="BDD6EE" w:themeFill="accent1" w:themeFillTint="66"/>
            <w:noWrap/>
            <w:vAlign w:val="center"/>
            <w:hideMark/>
          </w:tcPr>
          <w:p w14:paraId="655747A0" w14:textId="77777777" w:rsidR="005A7D49" w:rsidRPr="004E0519" w:rsidRDefault="005A7D49" w:rsidP="005A7D49">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2022</w:t>
            </w:r>
          </w:p>
        </w:tc>
        <w:tc>
          <w:tcPr>
            <w:tcW w:w="1039" w:type="dxa"/>
            <w:shd w:val="clear" w:color="auto" w:fill="BDD6EE" w:themeFill="accent1" w:themeFillTint="66"/>
            <w:noWrap/>
            <w:vAlign w:val="center"/>
            <w:hideMark/>
          </w:tcPr>
          <w:p w14:paraId="6063B5BE" w14:textId="77777777" w:rsidR="005A7D49" w:rsidRPr="004E0519" w:rsidRDefault="005A7D49" w:rsidP="005A7D49">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2023</w:t>
            </w:r>
          </w:p>
        </w:tc>
        <w:tc>
          <w:tcPr>
            <w:tcW w:w="1040" w:type="dxa"/>
            <w:shd w:val="clear" w:color="auto" w:fill="BDD6EE" w:themeFill="accent1" w:themeFillTint="66"/>
            <w:noWrap/>
            <w:vAlign w:val="center"/>
            <w:hideMark/>
          </w:tcPr>
          <w:p w14:paraId="6C401416" w14:textId="77777777" w:rsidR="005A7D49" w:rsidRPr="004E0519" w:rsidRDefault="005A7D49" w:rsidP="005A7D49">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2024</w:t>
            </w:r>
          </w:p>
        </w:tc>
        <w:tc>
          <w:tcPr>
            <w:tcW w:w="1039" w:type="dxa"/>
            <w:shd w:val="clear" w:color="auto" w:fill="BDD6EE" w:themeFill="accent1" w:themeFillTint="66"/>
            <w:noWrap/>
            <w:vAlign w:val="center"/>
            <w:hideMark/>
          </w:tcPr>
          <w:p w14:paraId="714F7691" w14:textId="77777777" w:rsidR="005A7D49" w:rsidRPr="004E0519" w:rsidRDefault="005A7D49" w:rsidP="005A7D49">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2025</w:t>
            </w:r>
          </w:p>
        </w:tc>
        <w:tc>
          <w:tcPr>
            <w:tcW w:w="1040" w:type="dxa"/>
            <w:shd w:val="clear" w:color="auto" w:fill="BDD6EE" w:themeFill="accent1" w:themeFillTint="66"/>
            <w:noWrap/>
            <w:vAlign w:val="center"/>
            <w:hideMark/>
          </w:tcPr>
          <w:p w14:paraId="10848C25" w14:textId="77777777" w:rsidR="005A7D49" w:rsidRPr="004E0519" w:rsidRDefault="005A7D49" w:rsidP="005A7D49">
            <w:pPr>
              <w:spacing w:before="0" w:after="0" w:line="240" w:lineRule="auto"/>
              <w:jc w:val="center"/>
              <w:rPr>
                <w:rFonts w:asciiTheme="minorHAnsi" w:hAnsiTheme="minorHAnsi" w:cs="Arial"/>
                <w:sz w:val="18"/>
                <w:szCs w:val="16"/>
              </w:rPr>
            </w:pPr>
            <w:r w:rsidRPr="004E0519">
              <w:rPr>
                <w:rFonts w:asciiTheme="minorHAnsi" w:hAnsiTheme="minorHAnsi" w:cs="Arial"/>
                <w:sz w:val="18"/>
                <w:szCs w:val="16"/>
              </w:rPr>
              <w:t>2026</w:t>
            </w:r>
          </w:p>
        </w:tc>
      </w:tr>
      <w:tr w:rsidR="005A7D49" w:rsidRPr="004E0519" w14:paraId="5DDAF26C" w14:textId="77777777" w:rsidTr="005A7D49">
        <w:trPr>
          <w:trHeight w:val="225"/>
        </w:trPr>
        <w:tc>
          <w:tcPr>
            <w:tcW w:w="2977" w:type="dxa"/>
            <w:shd w:val="clear" w:color="auto" w:fill="DEEAF6" w:themeFill="accent1" w:themeFillTint="33"/>
            <w:noWrap/>
            <w:vAlign w:val="bottom"/>
            <w:hideMark/>
          </w:tcPr>
          <w:p w14:paraId="6CEE40FD" w14:textId="77777777" w:rsidR="005A7D49" w:rsidRPr="004E0519" w:rsidRDefault="005A7D49" w:rsidP="005A7D49">
            <w:pPr>
              <w:spacing w:before="0" w:after="0" w:line="240" w:lineRule="auto"/>
              <w:jc w:val="left"/>
              <w:rPr>
                <w:rFonts w:asciiTheme="minorHAnsi" w:hAnsiTheme="minorHAnsi" w:cs="Arial"/>
                <w:sz w:val="18"/>
                <w:szCs w:val="16"/>
              </w:rPr>
            </w:pPr>
            <w:r w:rsidRPr="004E0519">
              <w:rPr>
                <w:rFonts w:asciiTheme="minorHAnsi" w:hAnsiTheme="minorHAnsi" w:cs="Arial"/>
                <w:sz w:val="18"/>
                <w:szCs w:val="16"/>
              </w:rPr>
              <w:t>Príjmy z mýta</w:t>
            </w:r>
          </w:p>
        </w:tc>
        <w:tc>
          <w:tcPr>
            <w:tcW w:w="1039" w:type="dxa"/>
            <w:shd w:val="clear" w:color="auto" w:fill="auto"/>
            <w:noWrap/>
            <w:vAlign w:val="bottom"/>
            <w:hideMark/>
          </w:tcPr>
          <w:p w14:paraId="0B40276B"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3734F0F0"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050C0274"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38C6D8C2"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3F76624B"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3BA5AC97"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r>
      <w:tr w:rsidR="005A7D49" w:rsidRPr="004E0519" w14:paraId="1A18EFE5" w14:textId="77777777" w:rsidTr="005A7D49">
        <w:trPr>
          <w:trHeight w:val="225"/>
        </w:trPr>
        <w:tc>
          <w:tcPr>
            <w:tcW w:w="2977" w:type="dxa"/>
            <w:shd w:val="clear" w:color="auto" w:fill="DEEAF6" w:themeFill="accent1" w:themeFillTint="33"/>
            <w:noWrap/>
            <w:vAlign w:val="bottom"/>
            <w:hideMark/>
          </w:tcPr>
          <w:p w14:paraId="339303B5" w14:textId="77777777" w:rsidR="005A7D49" w:rsidRPr="004E0519" w:rsidRDefault="005A7D49" w:rsidP="005A7D49">
            <w:pPr>
              <w:spacing w:before="0" w:after="0" w:line="240" w:lineRule="auto"/>
              <w:jc w:val="left"/>
              <w:rPr>
                <w:rFonts w:asciiTheme="minorHAnsi" w:hAnsiTheme="minorHAnsi" w:cs="Arial"/>
                <w:sz w:val="18"/>
                <w:szCs w:val="16"/>
              </w:rPr>
            </w:pPr>
            <w:r w:rsidRPr="004E0519">
              <w:rPr>
                <w:rFonts w:asciiTheme="minorHAnsi" w:hAnsiTheme="minorHAnsi" w:cs="Arial"/>
                <w:sz w:val="18"/>
                <w:szCs w:val="16"/>
              </w:rPr>
              <w:t>Iné príjmy</w:t>
            </w:r>
          </w:p>
        </w:tc>
        <w:tc>
          <w:tcPr>
            <w:tcW w:w="1039" w:type="dxa"/>
            <w:shd w:val="clear" w:color="auto" w:fill="auto"/>
            <w:noWrap/>
            <w:vAlign w:val="bottom"/>
            <w:hideMark/>
          </w:tcPr>
          <w:p w14:paraId="2A0214DE"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2CE74185"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3EC95FFC"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4E742A20"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39" w:type="dxa"/>
            <w:shd w:val="clear" w:color="auto" w:fill="auto"/>
            <w:noWrap/>
            <w:vAlign w:val="bottom"/>
            <w:hideMark/>
          </w:tcPr>
          <w:p w14:paraId="5980F6D3"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c>
          <w:tcPr>
            <w:tcW w:w="1040" w:type="dxa"/>
            <w:shd w:val="clear" w:color="auto" w:fill="auto"/>
            <w:noWrap/>
            <w:vAlign w:val="bottom"/>
            <w:hideMark/>
          </w:tcPr>
          <w:p w14:paraId="4389D764" w14:textId="77777777" w:rsidR="005A7D49" w:rsidRPr="004E0519" w:rsidRDefault="005A7D49" w:rsidP="005A7D49">
            <w:pPr>
              <w:spacing w:before="0" w:after="0" w:line="240" w:lineRule="auto"/>
              <w:jc w:val="right"/>
              <w:rPr>
                <w:rFonts w:asciiTheme="minorHAnsi" w:hAnsiTheme="minorHAnsi" w:cs="Arial"/>
                <w:sz w:val="18"/>
                <w:szCs w:val="16"/>
              </w:rPr>
            </w:pPr>
            <w:r w:rsidRPr="004E0519">
              <w:rPr>
                <w:rFonts w:asciiTheme="minorHAnsi" w:hAnsiTheme="minorHAnsi" w:cs="Arial"/>
                <w:sz w:val="18"/>
                <w:szCs w:val="16"/>
              </w:rPr>
              <w:t>0</w:t>
            </w:r>
          </w:p>
        </w:tc>
      </w:tr>
      <w:tr w:rsidR="005A7D49" w:rsidRPr="004E0519" w14:paraId="51FE75E7" w14:textId="77777777" w:rsidTr="005A7D49">
        <w:trPr>
          <w:trHeight w:val="225"/>
        </w:trPr>
        <w:tc>
          <w:tcPr>
            <w:tcW w:w="2977" w:type="dxa"/>
            <w:shd w:val="clear" w:color="auto" w:fill="BDD6EE" w:themeFill="accent1" w:themeFillTint="66"/>
            <w:noWrap/>
            <w:vAlign w:val="bottom"/>
            <w:hideMark/>
          </w:tcPr>
          <w:p w14:paraId="49B7F27E" w14:textId="77777777" w:rsidR="005A7D49" w:rsidRPr="004E0519" w:rsidRDefault="005A7D49" w:rsidP="005A7D49">
            <w:pPr>
              <w:spacing w:before="0" w:after="0" w:line="240" w:lineRule="auto"/>
              <w:jc w:val="left"/>
              <w:rPr>
                <w:rFonts w:asciiTheme="minorHAnsi" w:hAnsiTheme="minorHAnsi" w:cs="Arial"/>
                <w:b/>
                <w:bCs/>
                <w:sz w:val="18"/>
                <w:szCs w:val="16"/>
              </w:rPr>
            </w:pPr>
            <w:r w:rsidRPr="004E0519">
              <w:rPr>
                <w:rFonts w:asciiTheme="minorHAnsi" w:hAnsiTheme="minorHAnsi" w:cs="Arial"/>
                <w:b/>
                <w:bCs/>
                <w:sz w:val="18"/>
                <w:szCs w:val="16"/>
              </w:rPr>
              <w:t>Celkové príjmy</w:t>
            </w:r>
          </w:p>
        </w:tc>
        <w:tc>
          <w:tcPr>
            <w:tcW w:w="1039" w:type="dxa"/>
            <w:shd w:val="clear" w:color="auto" w:fill="BDD6EE" w:themeFill="accent1" w:themeFillTint="66"/>
            <w:noWrap/>
            <w:vAlign w:val="bottom"/>
            <w:hideMark/>
          </w:tcPr>
          <w:p w14:paraId="30DE9E7F" w14:textId="77777777" w:rsidR="005A7D49" w:rsidRPr="004E0519" w:rsidRDefault="005A7D49" w:rsidP="005A7D4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40" w:type="dxa"/>
            <w:shd w:val="clear" w:color="auto" w:fill="BDD6EE" w:themeFill="accent1" w:themeFillTint="66"/>
            <w:noWrap/>
            <w:vAlign w:val="bottom"/>
            <w:hideMark/>
          </w:tcPr>
          <w:p w14:paraId="677335FE" w14:textId="77777777" w:rsidR="005A7D49" w:rsidRPr="004E0519" w:rsidRDefault="005A7D49" w:rsidP="005A7D4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39" w:type="dxa"/>
            <w:shd w:val="clear" w:color="auto" w:fill="BDD6EE" w:themeFill="accent1" w:themeFillTint="66"/>
            <w:noWrap/>
            <w:vAlign w:val="bottom"/>
            <w:hideMark/>
          </w:tcPr>
          <w:p w14:paraId="49EB3288" w14:textId="77777777" w:rsidR="005A7D49" w:rsidRPr="004E0519" w:rsidRDefault="005A7D49" w:rsidP="005A7D4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40" w:type="dxa"/>
            <w:shd w:val="clear" w:color="auto" w:fill="BDD6EE" w:themeFill="accent1" w:themeFillTint="66"/>
            <w:noWrap/>
            <w:vAlign w:val="bottom"/>
            <w:hideMark/>
          </w:tcPr>
          <w:p w14:paraId="5EFE5C67" w14:textId="77777777" w:rsidR="005A7D49" w:rsidRPr="004E0519" w:rsidRDefault="005A7D49" w:rsidP="005A7D4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39" w:type="dxa"/>
            <w:shd w:val="clear" w:color="auto" w:fill="BDD6EE" w:themeFill="accent1" w:themeFillTint="66"/>
            <w:noWrap/>
            <w:vAlign w:val="bottom"/>
            <w:hideMark/>
          </w:tcPr>
          <w:p w14:paraId="5F2BC2D1" w14:textId="77777777" w:rsidR="005A7D49" w:rsidRPr="004E0519" w:rsidRDefault="005A7D49" w:rsidP="005A7D4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c>
          <w:tcPr>
            <w:tcW w:w="1040" w:type="dxa"/>
            <w:shd w:val="clear" w:color="auto" w:fill="BDD6EE" w:themeFill="accent1" w:themeFillTint="66"/>
            <w:noWrap/>
            <w:vAlign w:val="bottom"/>
            <w:hideMark/>
          </w:tcPr>
          <w:p w14:paraId="2CDDBF3E" w14:textId="77777777" w:rsidR="005A7D49" w:rsidRPr="004E0519" w:rsidRDefault="005A7D49" w:rsidP="005A7D49">
            <w:pPr>
              <w:spacing w:before="0" w:after="0" w:line="240" w:lineRule="auto"/>
              <w:jc w:val="right"/>
              <w:rPr>
                <w:rFonts w:asciiTheme="minorHAnsi" w:hAnsiTheme="minorHAnsi" w:cs="Arial"/>
                <w:b/>
                <w:bCs/>
                <w:sz w:val="18"/>
                <w:szCs w:val="16"/>
              </w:rPr>
            </w:pPr>
            <w:r w:rsidRPr="004E0519">
              <w:rPr>
                <w:rFonts w:asciiTheme="minorHAnsi" w:hAnsiTheme="minorHAnsi" w:cs="Arial"/>
                <w:b/>
                <w:bCs/>
                <w:sz w:val="18"/>
                <w:szCs w:val="16"/>
              </w:rPr>
              <w:t>0</w:t>
            </w:r>
          </w:p>
        </w:tc>
      </w:tr>
    </w:tbl>
    <w:p w14:paraId="29FE0A97" w14:textId="0619FD8C" w:rsidR="005A7D49" w:rsidRDefault="005A7D49" w:rsidP="005A7D49">
      <w:pPr>
        <w:rPr>
          <w:i/>
          <w:sz w:val="16"/>
        </w:rPr>
      </w:pPr>
      <w:r w:rsidRPr="00DA4343">
        <w:rPr>
          <w:i/>
          <w:sz w:val="16"/>
        </w:rPr>
        <w:t xml:space="preserve">Zdroj: Príloha </w:t>
      </w:r>
      <w:r w:rsidR="00090490">
        <w:rPr>
          <w:i/>
          <w:sz w:val="16"/>
        </w:rPr>
        <w:t>2</w:t>
      </w:r>
      <w:r w:rsidRPr="00DA4343">
        <w:rPr>
          <w:i/>
          <w:sz w:val="16"/>
        </w:rPr>
        <w:t xml:space="preserve">, hárok </w:t>
      </w:r>
      <w:r>
        <w:rPr>
          <w:i/>
          <w:sz w:val="16"/>
        </w:rPr>
        <w:t>04</w:t>
      </w:r>
    </w:p>
    <w:p w14:paraId="2E2090BE" w14:textId="77777777" w:rsidR="004C1394" w:rsidRDefault="004C1394" w:rsidP="005A7D49">
      <w:pPr>
        <w:rPr>
          <w:i/>
          <w:sz w:val="16"/>
        </w:rPr>
      </w:pPr>
    </w:p>
    <w:p w14:paraId="11E91D5F" w14:textId="4272DFC1" w:rsidR="005A7D49" w:rsidRDefault="005A7D49" w:rsidP="005A7D49">
      <w:r>
        <w:t xml:space="preserve">Projekt je z pohľadu prevádzkových príjmov neutrálny – výber mýta sa zavedením EETS nezníži ani nezvýši, a tak inkrementálne príjmy sú rovné nule. </w:t>
      </w:r>
    </w:p>
    <w:p w14:paraId="4BFECBF3" w14:textId="77777777" w:rsidR="004C1394" w:rsidRDefault="004C1394" w:rsidP="005A7D49"/>
    <w:p w14:paraId="0EE9AE92" w14:textId="77777777" w:rsidR="00F6764A" w:rsidRDefault="00F6764A" w:rsidP="00F6764A">
      <w:pPr>
        <w:pStyle w:val="Heading3"/>
      </w:pPr>
      <w:bookmarkStart w:id="187" w:name="_Toc87283287"/>
      <w:bookmarkStart w:id="188" w:name="_Toc87348769"/>
      <w:r>
        <w:lastRenderedPageBreak/>
        <w:t>Prínosy pre používateľov</w:t>
      </w:r>
      <w:bookmarkEnd w:id="187"/>
      <w:bookmarkEnd w:id="188"/>
    </w:p>
    <w:p w14:paraId="35DAC618" w14:textId="77777777" w:rsidR="00F6764A" w:rsidRDefault="00F6764A" w:rsidP="00F6764A">
      <w:r>
        <w:t>Prínosom EETS pre používateľov je zníženie administratívnej náročnosti, vyjadrené najlepšie úsporou cestovného času vodiča a vozidla. Vozidlá vybavené interoperabilnou palubnou jednotkou prichádzajúce zo zahraničia nepotrebujú zastaviť na hraničnom priechode zo Slovenskou republikou, zaregistrovať vozidlo, vyzdvihnúť si inštalovať palubnú jednotku a/alebo uhradiť predplatené mýto. Na základe štatistiky ročného počtu operácií s palubnou jednotkou a počtu platobných operácií realizovaných na hraničných priechodoch bol spracovaný kvalifikovaný odhad úspory času. Operácia spojená s registráciou vozidla a inštaláciou palubnej jednotky bola zaťažená trvaním 15 minút (0,25 hod), finančné operácie trvaním 3 minúty (0,05 hod), podrobnosti viď Príloha 2, hárok 13 „Vstupné dáta“, sekcia „Ocenenie času používateľov“. Na výsledný odhad úspory času bolo aplikované pravidlo polovice. Úspora času pre vozidlá s hmotnosťou 3,5 t a menej nie je pre výber mýta relevantná.</w:t>
      </w:r>
    </w:p>
    <w:p w14:paraId="24EE6342" w14:textId="77777777" w:rsidR="00F6764A" w:rsidRDefault="00F6764A" w:rsidP="00F6764A">
      <w:pPr>
        <w:pStyle w:val="Caption"/>
      </w:pPr>
      <w:r>
        <w:t xml:space="preserve">Tab. </w:t>
      </w:r>
      <w:r>
        <w:fldChar w:fldCharType="begin"/>
      </w:r>
      <w:r>
        <w:instrText xml:space="preserve"> SEQ Tab. \* ARABIC </w:instrText>
      </w:r>
      <w:r>
        <w:fldChar w:fldCharType="separate"/>
      </w:r>
      <w:r>
        <w:rPr>
          <w:noProof/>
        </w:rPr>
        <w:t>78</w:t>
      </w:r>
      <w:r>
        <w:fldChar w:fldCharType="end"/>
      </w:r>
      <w:r>
        <w:t xml:space="preserve"> - Úspora času nákladného vozidla</w:t>
      </w:r>
    </w:p>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2263"/>
        <w:gridCol w:w="1276"/>
        <w:gridCol w:w="1134"/>
        <w:gridCol w:w="1134"/>
        <w:gridCol w:w="1134"/>
        <w:gridCol w:w="1134"/>
        <w:gridCol w:w="1134"/>
      </w:tblGrid>
      <w:tr w:rsidR="00F6764A" w:rsidRPr="008D428C" w14:paraId="19357715" w14:textId="77777777" w:rsidTr="00F6764A">
        <w:trPr>
          <w:trHeight w:val="450"/>
        </w:trPr>
        <w:tc>
          <w:tcPr>
            <w:tcW w:w="2263" w:type="dxa"/>
            <w:shd w:val="clear" w:color="auto" w:fill="BDD6EE" w:themeFill="accent1" w:themeFillTint="66"/>
            <w:noWrap/>
            <w:vAlign w:val="center"/>
            <w:hideMark/>
          </w:tcPr>
          <w:p w14:paraId="68629AF7" w14:textId="77777777" w:rsidR="00F6764A" w:rsidRPr="008D428C" w:rsidRDefault="00F6764A" w:rsidP="00F6764A">
            <w:pPr>
              <w:spacing w:before="0" w:after="0" w:line="240" w:lineRule="auto"/>
              <w:jc w:val="left"/>
              <w:rPr>
                <w:rFonts w:asciiTheme="minorHAnsi" w:hAnsiTheme="minorHAnsi" w:cstheme="minorHAnsi"/>
                <w:b/>
                <w:bCs/>
                <w:sz w:val="18"/>
                <w:szCs w:val="18"/>
              </w:rPr>
            </w:pPr>
            <w:r w:rsidRPr="008D428C">
              <w:rPr>
                <w:rFonts w:asciiTheme="minorHAnsi" w:hAnsiTheme="minorHAnsi" w:cstheme="minorHAnsi"/>
                <w:b/>
                <w:bCs/>
                <w:sz w:val="18"/>
                <w:szCs w:val="18"/>
              </w:rPr>
              <w:t>7.2 Jazdný čas nákladného auta [hod]</w:t>
            </w:r>
          </w:p>
        </w:tc>
        <w:tc>
          <w:tcPr>
            <w:tcW w:w="1276" w:type="dxa"/>
            <w:shd w:val="clear" w:color="auto" w:fill="BDD6EE" w:themeFill="accent1" w:themeFillTint="66"/>
            <w:vAlign w:val="center"/>
            <w:hideMark/>
          </w:tcPr>
          <w:p w14:paraId="29DFD437" w14:textId="77777777" w:rsidR="00F6764A" w:rsidRPr="008D428C" w:rsidRDefault="00F6764A" w:rsidP="00F6764A">
            <w:pPr>
              <w:spacing w:before="0" w:after="0" w:line="240" w:lineRule="auto"/>
              <w:jc w:val="center"/>
              <w:rPr>
                <w:rFonts w:asciiTheme="minorHAnsi" w:hAnsiTheme="minorHAnsi" w:cstheme="minorHAnsi"/>
                <w:bCs/>
                <w:sz w:val="18"/>
                <w:szCs w:val="18"/>
              </w:rPr>
            </w:pPr>
            <w:r w:rsidRPr="008D428C">
              <w:rPr>
                <w:rFonts w:asciiTheme="minorHAnsi" w:hAnsiTheme="minorHAnsi" w:cstheme="minorHAnsi"/>
                <w:bCs/>
                <w:sz w:val="18"/>
                <w:szCs w:val="18"/>
              </w:rPr>
              <w:t>Celkom</w:t>
            </w:r>
          </w:p>
        </w:tc>
        <w:tc>
          <w:tcPr>
            <w:tcW w:w="1134" w:type="dxa"/>
            <w:shd w:val="clear" w:color="auto" w:fill="BDD6EE" w:themeFill="accent1" w:themeFillTint="66"/>
            <w:noWrap/>
            <w:vAlign w:val="center"/>
            <w:hideMark/>
          </w:tcPr>
          <w:p w14:paraId="0ADD1DB2" w14:textId="77777777" w:rsidR="00F6764A" w:rsidRPr="008D428C" w:rsidRDefault="00F6764A" w:rsidP="00F6764A">
            <w:pPr>
              <w:spacing w:before="0" w:after="0" w:line="240" w:lineRule="auto"/>
              <w:jc w:val="center"/>
              <w:rPr>
                <w:rFonts w:asciiTheme="minorHAnsi" w:hAnsiTheme="minorHAnsi" w:cstheme="minorHAnsi"/>
                <w:iCs/>
                <w:sz w:val="18"/>
                <w:szCs w:val="18"/>
              </w:rPr>
            </w:pPr>
            <w:r w:rsidRPr="008D428C">
              <w:rPr>
                <w:rFonts w:asciiTheme="minorHAnsi" w:hAnsiTheme="minorHAnsi" w:cstheme="minorHAnsi"/>
                <w:iCs/>
                <w:sz w:val="18"/>
                <w:szCs w:val="18"/>
              </w:rPr>
              <w:t>2022</w:t>
            </w:r>
          </w:p>
        </w:tc>
        <w:tc>
          <w:tcPr>
            <w:tcW w:w="1134" w:type="dxa"/>
            <w:shd w:val="clear" w:color="auto" w:fill="BDD6EE" w:themeFill="accent1" w:themeFillTint="66"/>
            <w:noWrap/>
            <w:vAlign w:val="center"/>
            <w:hideMark/>
          </w:tcPr>
          <w:p w14:paraId="5FC8F5BA" w14:textId="77777777" w:rsidR="00F6764A" w:rsidRPr="008D428C" w:rsidRDefault="00F6764A" w:rsidP="00F6764A">
            <w:pPr>
              <w:spacing w:before="0" w:after="0" w:line="240" w:lineRule="auto"/>
              <w:jc w:val="center"/>
              <w:rPr>
                <w:rFonts w:asciiTheme="minorHAnsi" w:hAnsiTheme="minorHAnsi" w:cstheme="minorHAnsi"/>
                <w:iCs/>
                <w:sz w:val="18"/>
                <w:szCs w:val="18"/>
              </w:rPr>
            </w:pPr>
            <w:r w:rsidRPr="008D428C">
              <w:rPr>
                <w:rFonts w:asciiTheme="minorHAnsi" w:hAnsiTheme="minorHAnsi" w:cstheme="minorHAnsi"/>
                <w:iCs/>
                <w:sz w:val="18"/>
                <w:szCs w:val="18"/>
              </w:rPr>
              <w:t>2023</w:t>
            </w:r>
          </w:p>
        </w:tc>
        <w:tc>
          <w:tcPr>
            <w:tcW w:w="1134" w:type="dxa"/>
            <w:shd w:val="clear" w:color="auto" w:fill="BDD6EE" w:themeFill="accent1" w:themeFillTint="66"/>
            <w:noWrap/>
            <w:vAlign w:val="center"/>
            <w:hideMark/>
          </w:tcPr>
          <w:p w14:paraId="3B87C606" w14:textId="77777777" w:rsidR="00F6764A" w:rsidRPr="008D428C" w:rsidRDefault="00F6764A" w:rsidP="00F6764A">
            <w:pPr>
              <w:spacing w:before="0" w:after="0" w:line="240" w:lineRule="auto"/>
              <w:jc w:val="center"/>
              <w:rPr>
                <w:rFonts w:asciiTheme="minorHAnsi" w:hAnsiTheme="minorHAnsi" w:cstheme="minorHAnsi"/>
                <w:iCs/>
                <w:sz w:val="18"/>
                <w:szCs w:val="18"/>
              </w:rPr>
            </w:pPr>
            <w:r w:rsidRPr="008D428C">
              <w:rPr>
                <w:rFonts w:asciiTheme="minorHAnsi" w:hAnsiTheme="minorHAnsi" w:cstheme="minorHAnsi"/>
                <w:iCs/>
                <w:sz w:val="18"/>
                <w:szCs w:val="18"/>
              </w:rPr>
              <w:t>2024</w:t>
            </w:r>
          </w:p>
        </w:tc>
        <w:tc>
          <w:tcPr>
            <w:tcW w:w="1134" w:type="dxa"/>
            <w:shd w:val="clear" w:color="auto" w:fill="BDD6EE" w:themeFill="accent1" w:themeFillTint="66"/>
            <w:noWrap/>
            <w:vAlign w:val="center"/>
            <w:hideMark/>
          </w:tcPr>
          <w:p w14:paraId="62C4ABC5" w14:textId="77777777" w:rsidR="00F6764A" w:rsidRPr="008D428C" w:rsidRDefault="00F6764A" w:rsidP="00F6764A">
            <w:pPr>
              <w:spacing w:before="0" w:after="0" w:line="240" w:lineRule="auto"/>
              <w:jc w:val="center"/>
              <w:rPr>
                <w:rFonts w:asciiTheme="minorHAnsi" w:hAnsiTheme="minorHAnsi" w:cstheme="minorHAnsi"/>
                <w:iCs/>
                <w:sz w:val="18"/>
                <w:szCs w:val="18"/>
              </w:rPr>
            </w:pPr>
            <w:r w:rsidRPr="008D428C">
              <w:rPr>
                <w:rFonts w:asciiTheme="minorHAnsi" w:hAnsiTheme="minorHAnsi" w:cstheme="minorHAnsi"/>
                <w:iCs/>
                <w:sz w:val="18"/>
                <w:szCs w:val="18"/>
              </w:rPr>
              <w:t>2025</w:t>
            </w:r>
          </w:p>
        </w:tc>
        <w:tc>
          <w:tcPr>
            <w:tcW w:w="1134" w:type="dxa"/>
            <w:shd w:val="clear" w:color="auto" w:fill="BDD6EE" w:themeFill="accent1" w:themeFillTint="66"/>
            <w:noWrap/>
            <w:vAlign w:val="center"/>
            <w:hideMark/>
          </w:tcPr>
          <w:p w14:paraId="2DFE8B5F" w14:textId="77777777" w:rsidR="00F6764A" w:rsidRPr="008D428C" w:rsidRDefault="00F6764A" w:rsidP="00F6764A">
            <w:pPr>
              <w:spacing w:before="0" w:after="0" w:line="240" w:lineRule="auto"/>
              <w:jc w:val="center"/>
              <w:rPr>
                <w:rFonts w:asciiTheme="minorHAnsi" w:hAnsiTheme="minorHAnsi" w:cstheme="minorHAnsi"/>
                <w:iCs/>
                <w:sz w:val="18"/>
                <w:szCs w:val="18"/>
              </w:rPr>
            </w:pPr>
            <w:r w:rsidRPr="008D428C">
              <w:rPr>
                <w:rFonts w:asciiTheme="minorHAnsi" w:hAnsiTheme="minorHAnsi" w:cstheme="minorHAnsi"/>
                <w:iCs/>
                <w:sz w:val="18"/>
                <w:szCs w:val="18"/>
              </w:rPr>
              <w:t>2026</w:t>
            </w:r>
          </w:p>
        </w:tc>
      </w:tr>
      <w:tr w:rsidR="00F6764A" w:rsidRPr="008D428C" w14:paraId="5E70FBB4" w14:textId="77777777" w:rsidTr="00F6764A">
        <w:trPr>
          <w:trHeight w:val="225"/>
        </w:trPr>
        <w:tc>
          <w:tcPr>
            <w:tcW w:w="2263" w:type="dxa"/>
            <w:shd w:val="clear" w:color="auto" w:fill="DEEAF6" w:themeFill="accent1" w:themeFillTint="33"/>
            <w:noWrap/>
            <w:vAlign w:val="bottom"/>
            <w:hideMark/>
          </w:tcPr>
          <w:p w14:paraId="3326239E" w14:textId="77777777" w:rsidR="00F6764A" w:rsidRPr="008D428C" w:rsidRDefault="00F6764A" w:rsidP="00F6764A">
            <w:pPr>
              <w:spacing w:before="0" w:after="0" w:line="240" w:lineRule="auto"/>
              <w:jc w:val="left"/>
              <w:rPr>
                <w:rFonts w:asciiTheme="minorHAnsi" w:hAnsiTheme="minorHAnsi" w:cstheme="minorHAnsi"/>
                <w:sz w:val="18"/>
                <w:szCs w:val="18"/>
              </w:rPr>
            </w:pPr>
            <w:r w:rsidRPr="008D428C">
              <w:rPr>
                <w:rFonts w:asciiTheme="minorHAnsi" w:hAnsiTheme="minorHAnsi" w:cstheme="minorHAnsi"/>
                <w:sz w:val="18"/>
                <w:szCs w:val="18"/>
              </w:rPr>
              <w:t>Jazdný čas BEZ PROJEKTU</w:t>
            </w:r>
          </w:p>
        </w:tc>
        <w:tc>
          <w:tcPr>
            <w:tcW w:w="1276" w:type="dxa"/>
            <w:shd w:val="clear" w:color="auto" w:fill="auto"/>
            <w:noWrap/>
            <w:vAlign w:val="center"/>
            <w:hideMark/>
          </w:tcPr>
          <w:p w14:paraId="593126B5"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1 935 503</w:t>
            </w:r>
          </w:p>
        </w:tc>
        <w:tc>
          <w:tcPr>
            <w:tcW w:w="1134" w:type="dxa"/>
            <w:shd w:val="clear" w:color="auto" w:fill="auto"/>
            <w:noWrap/>
            <w:vAlign w:val="center"/>
            <w:hideMark/>
          </w:tcPr>
          <w:p w14:paraId="4DA6E471"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371 551</w:t>
            </w:r>
          </w:p>
        </w:tc>
        <w:tc>
          <w:tcPr>
            <w:tcW w:w="1134" w:type="dxa"/>
            <w:shd w:val="clear" w:color="auto" w:fill="auto"/>
            <w:noWrap/>
            <w:vAlign w:val="center"/>
            <w:hideMark/>
          </w:tcPr>
          <w:p w14:paraId="1696921A"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379 168</w:t>
            </w:r>
          </w:p>
        </w:tc>
        <w:tc>
          <w:tcPr>
            <w:tcW w:w="1134" w:type="dxa"/>
            <w:shd w:val="clear" w:color="auto" w:fill="auto"/>
            <w:noWrap/>
            <w:vAlign w:val="center"/>
            <w:hideMark/>
          </w:tcPr>
          <w:p w14:paraId="296FBB20"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386 941</w:t>
            </w:r>
          </w:p>
        </w:tc>
        <w:tc>
          <w:tcPr>
            <w:tcW w:w="1134" w:type="dxa"/>
            <w:shd w:val="clear" w:color="auto" w:fill="auto"/>
            <w:noWrap/>
            <w:vAlign w:val="center"/>
            <w:hideMark/>
          </w:tcPr>
          <w:p w14:paraId="3E6A7FA2"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394 873</w:t>
            </w:r>
          </w:p>
        </w:tc>
        <w:tc>
          <w:tcPr>
            <w:tcW w:w="1134" w:type="dxa"/>
            <w:shd w:val="clear" w:color="auto" w:fill="auto"/>
            <w:noWrap/>
            <w:vAlign w:val="center"/>
            <w:hideMark/>
          </w:tcPr>
          <w:p w14:paraId="16AF4EDC"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402 968</w:t>
            </w:r>
          </w:p>
        </w:tc>
      </w:tr>
      <w:tr w:rsidR="00F6764A" w:rsidRPr="008D428C" w14:paraId="4A78CD24" w14:textId="77777777" w:rsidTr="00F6764A">
        <w:trPr>
          <w:trHeight w:val="225"/>
        </w:trPr>
        <w:tc>
          <w:tcPr>
            <w:tcW w:w="2263" w:type="dxa"/>
            <w:shd w:val="clear" w:color="auto" w:fill="DEEAF6" w:themeFill="accent1" w:themeFillTint="33"/>
            <w:noWrap/>
            <w:vAlign w:val="bottom"/>
            <w:hideMark/>
          </w:tcPr>
          <w:p w14:paraId="2F75018E" w14:textId="77777777" w:rsidR="00F6764A" w:rsidRPr="008D428C" w:rsidRDefault="00F6764A" w:rsidP="00F6764A">
            <w:pPr>
              <w:spacing w:before="0" w:after="0" w:line="240" w:lineRule="auto"/>
              <w:jc w:val="left"/>
              <w:rPr>
                <w:rFonts w:asciiTheme="minorHAnsi" w:hAnsiTheme="minorHAnsi" w:cstheme="minorHAnsi"/>
                <w:sz w:val="18"/>
                <w:szCs w:val="18"/>
              </w:rPr>
            </w:pPr>
            <w:r w:rsidRPr="008D428C">
              <w:rPr>
                <w:rFonts w:asciiTheme="minorHAnsi" w:hAnsiTheme="minorHAnsi" w:cstheme="minorHAnsi"/>
                <w:sz w:val="18"/>
                <w:szCs w:val="18"/>
              </w:rPr>
              <w:t>Jazdný čas S</w:t>
            </w:r>
            <w:r>
              <w:rPr>
                <w:rFonts w:asciiTheme="minorHAnsi" w:hAnsiTheme="minorHAnsi" w:cstheme="minorHAnsi"/>
                <w:sz w:val="18"/>
                <w:szCs w:val="18"/>
              </w:rPr>
              <w:t> </w:t>
            </w:r>
            <w:r w:rsidRPr="008D428C">
              <w:rPr>
                <w:rFonts w:asciiTheme="minorHAnsi" w:hAnsiTheme="minorHAnsi" w:cstheme="minorHAnsi"/>
                <w:sz w:val="18"/>
                <w:szCs w:val="18"/>
              </w:rPr>
              <w:t>PROJEKTOM</w:t>
            </w:r>
            <w:r>
              <w:rPr>
                <w:rFonts w:asciiTheme="minorHAnsi" w:hAnsiTheme="minorHAnsi" w:cstheme="minorHAnsi"/>
                <w:sz w:val="18"/>
                <w:szCs w:val="18"/>
              </w:rPr>
              <w:t xml:space="preserve"> (pravidlo polovice)</w:t>
            </w:r>
          </w:p>
        </w:tc>
        <w:tc>
          <w:tcPr>
            <w:tcW w:w="1276" w:type="dxa"/>
            <w:shd w:val="clear" w:color="auto" w:fill="auto"/>
            <w:noWrap/>
            <w:vAlign w:val="center"/>
            <w:hideMark/>
          </w:tcPr>
          <w:p w14:paraId="36C98445"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1 738 811</w:t>
            </w:r>
          </w:p>
        </w:tc>
        <w:tc>
          <w:tcPr>
            <w:tcW w:w="1134" w:type="dxa"/>
            <w:shd w:val="clear" w:color="auto" w:fill="auto"/>
            <w:noWrap/>
            <w:vAlign w:val="center"/>
            <w:hideMark/>
          </w:tcPr>
          <w:p w14:paraId="6BE4232E"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362 263</w:t>
            </w:r>
          </w:p>
        </w:tc>
        <w:tc>
          <w:tcPr>
            <w:tcW w:w="1134" w:type="dxa"/>
            <w:shd w:val="clear" w:color="auto" w:fill="auto"/>
            <w:noWrap/>
            <w:vAlign w:val="center"/>
            <w:hideMark/>
          </w:tcPr>
          <w:p w14:paraId="2A268CEE"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360 210</w:t>
            </w:r>
          </w:p>
        </w:tc>
        <w:tc>
          <w:tcPr>
            <w:tcW w:w="1134" w:type="dxa"/>
            <w:shd w:val="clear" w:color="auto" w:fill="auto"/>
            <w:noWrap/>
            <w:vAlign w:val="center"/>
            <w:hideMark/>
          </w:tcPr>
          <w:p w14:paraId="23F94B9F"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348 247</w:t>
            </w:r>
          </w:p>
        </w:tc>
        <w:tc>
          <w:tcPr>
            <w:tcW w:w="1134" w:type="dxa"/>
            <w:shd w:val="clear" w:color="auto" w:fill="auto"/>
            <w:noWrap/>
            <w:vAlign w:val="center"/>
            <w:hideMark/>
          </w:tcPr>
          <w:p w14:paraId="2DD6DF57"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335 642</w:t>
            </w:r>
          </w:p>
        </w:tc>
        <w:tc>
          <w:tcPr>
            <w:tcW w:w="1134" w:type="dxa"/>
            <w:shd w:val="clear" w:color="auto" w:fill="auto"/>
            <w:noWrap/>
            <w:vAlign w:val="center"/>
            <w:hideMark/>
          </w:tcPr>
          <w:p w14:paraId="2742D882"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332 449</w:t>
            </w:r>
          </w:p>
        </w:tc>
      </w:tr>
      <w:tr w:rsidR="00F6764A" w:rsidRPr="008D428C" w14:paraId="2350056B" w14:textId="77777777" w:rsidTr="00F6764A">
        <w:trPr>
          <w:trHeight w:val="225"/>
        </w:trPr>
        <w:tc>
          <w:tcPr>
            <w:tcW w:w="2263" w:type="dxa"/>
            <w:shd w:val="clear" w:color="auto" w:fill="BDD6EE" w:themeFill="accent1" w:themeFillTint="66"/>
            <w:noWrap/>
            <w:vAlign w:val="bottom"/>
            <w:hideMark/>
          </w:tcPr>
          <w:p w14:paraId="1762B6B9" w14:textId="77777777" w:rsidR="00F6764A" w:rsidRPr="008D428C" w:rsidRDefault="00F6764A" w:rsidP="00F6764A">
            <w:pPr>
              <w:spacing w:before="0" w:after="0" w:line="240" w:lineRule="auto"/>
              <w:jc w:val="left"/>
              <w:rPr>
                <w:rFonts w:asciiTheme="minorHAnsi" w:hAnsiTheme="minorHAnsi" w:cstheme="minorHAnsi"/>
                <w:b/>
                <w:bCs/>
                <w:sz w:val="18"/>
                <w:szCs w:val="18"/>
              </w:rPr>
            </w:pPr>
            <w:r w:rsidRPr="008D428C">
              <w:rPr>
                <w:rFonts w:asciiTheme="minorHAnsi" w:hAnsiTheme="minorHAnsi" w:cstheme="minorHAnsi"/>
                <w:b/>
                <w:sz w:val="18"/>
                <w:szCs w:val="18"/>
              </w:rPr>
              <w:t>Úspora času [hod]</w:t>
            </w:r>
          </w:p>
        </w:tc>
        <w:tc>
          <w:tcPr>
            <w:tcW w:w="1276" w:type="dxa"/>
            <w:shd w:val="clear" w:color="auto" w:fill="BDD6EE" w:themeFill="accent1" w:themeFillTint="66"/>
            <w:noWrap/>
            <w:vAlign w:val="center"/>
            <w:hideMark/>
          </w:tcPr>
          <w:p w14:paraId="4108861D" w14:textId="77777777" w:rsidR="00F6764A" w:rsidRPr="008D428C" w:rsidRDefault="00F6764A" w:rsidP="00F6764A">
            <w:pPr>
              <w:spacing w:before="0" w:after="0" w:line="240" w:lineRule="auto"/>
              <w:jc w:val="right"/>
              <w:rPr>
                <w:rFonts w:asciiTheme="minorHAnsi" w:hAnsiTheme="minorHAnsi" w:cstheme="minorHAnsi"/>
                <w:b/>
                <w:bCs/>
                <w:sz w:val="18"/>
                <w:szCs w:val="18"/>
              </w:rPr>
            </w:pPr>
            <w:r w:rsidRPr="008D428C">
              <w:rPr>
                <w:rFonts w:asciiTheme="minorHAnsi" w:hAnsiTheme="minorHAnsi" w:cstheme="minorHAnsi"/>
                <w:b/>
                <w:sz w:val="18"/>
                <w:szCs w:val="18"/>
              </w:rPr>
              <w:t>196 692</w:t>
            </w:r>
          </w:p>
        </w:tc>
        <w:tc>
          <w:tcPr>
            <w:tcW w:w="1134" w:type="dxa"/>
            <w:shd w:val="clear" w:color="auto" w:fill="BDD6EE" w:themeFill="accent1" w:themeFillTint="66"/>
            <w:noWrap/>
            <w:vAlign w:val="center"/>
            <w:hideMark/>
          </w:tcPr>
          <w:p w14:paraId="7F0DD522" w14:textId="77777777" w:rsidR="00F6764A" w:rsidRPr="008D428C" w:rsidRDefault="00F6764A" w:rsidP="00F6764A">
            <w:pPr>
              <w:spacing w:before="0" w:after="0" w:line="240" w:lineRule="auto"/>
              <w:jc w:val="right"/>
              <w:rPr>
                <w:rFonts w:asciiTheme="minorHAnsi" w:hAnsiTheme="minorHAnsi" w:cstheme="minorHAnsi"/>
                <w:b/>
                <w:bCs/>
                <w:sz w:val="18"/>
                <w:szCs w:val="18"/>
              </w:rPr>
            </w:pPr>
            <w:r w:rsidRPr="008D428C">
              <w:rPr>
                <w:rFonts w:asciiTheme="minorHAnsi" w:hAnsiTheme="minorHAnsi" w:cstheme="minorHAnsi"/>
                <w:b/>
                <w:sz w:val="18"/>
                <w:szCs w:val="18"/>
              </w:rPr>
              <w:t>9 289</w:t>
            </w:r>
          </w:p>
        </w:tc>
        <w:tc>
          <w:tcPr>
            <w:tcW w:w="1134" w:type="dxa"/>
            <w:shd w:val="clear" w:color="auto" w:fill="BDD6EE" w:themeFill="accent1" w:themeFillTint="66"/>
            <w:noWrap/>
            <w:vAlign w:val="center"/>
            <w:hideMark/>
          </w:tcPr>
          <w:p w14:paraId="50B667F2" w14:textId="77777777" w:rsidR="00F6764A" w:rsidRPr="008D428C" w:rsidRDefault="00F6764A" w:rsidP="00F6764A">
            <w:pPr>
              <w:spacing w:before="0" w:after="0" w:line="240" w:lineRule="auto"/>
              <w:jc w:val="right"/>
              <w:rPr>
                <w:rFonts w:asciiTheme="minorHAnsi" w:hAnsiTheme="minorHAnsi" w:cstheme="minorHAnsi"/>
                <w:b/>
                <w:bCs/>
                <w:sz w:val="18"/>
                <w:szCs w:val="18"/>
              </w:rPr>
            </w:pPr>
            <w:r w:rsidRPr="008D428C">
              <w:rPr>
                <w:rFonts w:asciiTheme="minorHAnsi" w:hAnsiTheme="minorHAnsi" w:cstheme="minorHAnsi"/>
                <w:b/>
                <w:sz w:val="18"/>
                <w:szCs w:val="18"/>
              </w:rPr>
              <w:t>18 958</w:t>
            </w:r>
          </w:p>
        </w:tc>
        <w:tc>
          <w:tcPr>
            <w:tcW w:w="1134" w:type="dxa"/>
            <w:shd w:val="clear" w:color="auto" w:fill="BDD6EE" w:themeFill="accent1" w:themeFillTint="66"/>
            <w:noWrap/>
            <w:vAlign w:val="center"/>
            <w:hideMark/>
          </w:tcPr>
          <w:p w14:paraId="00BE8CA7" w14:textId="77777777" w:rsidR="00F6764A" w:rsidRPr="008D428C" w:rsidRDefault="00F6764A" w:rsidP="00F6764A">
            <w:pPr>
              <w:spacing w:before="0" w:after="0" w:line="240" w:lineRule="auto"/>
              <w:jc w:val="right"/>
              <w:rPr>
                <w:rFonts w:asciiTheme="minorHAnsi" w:hAnsiTheme="minorHAnsi" w:cstheme="minorHAnsi"/>
                <w:b/>
                <w:bCs/>
                <w:sz w:val="18"/>
                <w:szCs w:val="18"/>
              </w:rPr>
            </w:pPr>
            <w:r w:rsidRPr="008D428C">
              <w:rPr>
                <w:rFonts w:asciiTheme="minorHAnsi" w:hAnsiTheme="minorHAnsi" w:cstheme="minorHAnsi"/>
                <w:b/>
                <w:sz w:val="18"/>
                <w:szCs w:val="18"/>
              </w:rPr>
              <w:t>38 694</w:t>
            </w:r>
          </w:p>
        </w:tc>
        <w:tc>
          <w:tcPr>
            <w:tcW w:w="1134" w:type="dxa"/>
            <w:shd w:val="clear" w:color="auto" w:fill="BDD6EE" w:themeFill="accent1" w:themeFillTint="66"/>
            <w:noWrap/>
            <w:vAlign w:val="center"/>
            <w:hideMark/>
          </w:tcPr>
          <w:p w14:paraId="29269F10" w14:textId="77777777" w:rsidR="00F6764A" w:rsidRPr="008D428C" w:rsidRDefault="00F6764A" w:rsidP="00F6764A">
            <w:pPr>
              <w:spacing w:before="0" w:after="0" w:line="240" w:lineRule="auto"/>
              <w:jc w:val="right"/>
              <w:rPr>
                <w:rFonts w:asciiTheme="minorHAnsi" w:hAnsiTheme="minorHAnsi" w:cstheme="minorHAnsi"/>
                <w:b/>
                <w:bCs/>
                <w:sz w:val="18"/>
                <w:szCs w:val="18"/>
              </w:rPr>
            </w:pPr>
            <w:r w:rsidRPr="008D428C">
              <w:rPr>
                <w:rFonts w:asciiTheme="minorHAnsi" w:hAnsiTheme="minorHAnsi" w:cstheme="minorHAnsi"/>
                <w:b/>
                <w:sz w:val="18"/>
                <w:szCs w:val="18"/>
              </w:rPr>
              <w:t>59 231</w:t>
            </w:r>
          </w:p>
        </w:tc>
        <w:tc>
          <w:tcPr>
            <w:tcW w:w="1134" w:type="dxa"/>
            <w:shd w:val="clear" w:color="auto" w:fill="BDD6EE" w:themeFill="accent1" w:themeFillTint="66"/>
            <w:noWrap/>
            <w:vAlign w:val="center"/>
            <w:hideMark/>
          </w:tcPr>
          <w:p w14:paraId="49B0EBB9" w14:textId="77777777" w:rsidR="00F6764A" w:rsidRPr="008D428C" w:rsidRDefault="00F6764A" w:rsidP="00F6764A">
            <w:pPr>
              <w:spacing w:before="0" w:after="0" w:line="240" w:lineRule="auto"/>
              <w:jc w:val="right"/>
              <w:rPr>
                <w:rFonts w:asciiTheme="minorHAnsi" w:hAnsiTheme="minorHAnsi" w:cstheme="minorHAnsi"/>
                <w:b/>
                <w:bCs/>
                <w:sz w:val="18"/>
                <w:szCs w:val="18"/>
              </w:rPr>
            </w:pPr>
            <w:r w:rsidRPr="008D428C">
              <w:rPr>
                <w:rFonts w:asciiTheme="minorHAnsi" w:hAnsiTheme="minorHAnsi" w:cstheme="minorHAnsi"/>
                <w:b/>
                <w:sz w:val="18"/>
                <w:szCs w:val="18"/>
              </w:rPr>
              <w:t>70 519</w:t>
            </w:r>
          </w:p>
        </w:tc>
      </w:tr>
      <w:tr w:rsidR="00F6764A" w:rsidRPr="008D428C" w14:paraId="428E05E7" w14:textId="77777777" w:rsidTr="00F6764A">
        <w:trPr>
          <w:trHeight w:val="225"/>
        </w:trPr>
        <w:tc>
          <w:tcPr>
            <w:tcW w:w="2263" w:type="dxa"/>
            <w:shd w:val="clear" w:color="auto" w:fill="DEEAF6" w:themeFill="accent1" w:themeFillTint="33"/>
            <w:noWrap/>
            <w:vAlign w:val="bottom"/>
            <w:hideMark/>
          </w:tcPr>
          <w:p w14:paraId="4FEC9690" w14:textId="77777777" w:rsidR="00F6764A" w:rsidRPr="008D428C" w:rsidRDefault="00F6764A" w:rsidP="00F6764A">
            <w:pPr>
              <w:spacing w:before="0" w:after="0" w:line="240" w:lineRule="auto"/>
              <w:jc w:val="left"/>
              <w:rPr>
                <w:rFonts w:asciiTheme="minorHAnsi" w:hAnsiTheme="minorHAnsi" w:cstheme="minorHAnsi"/>
                <w:sz w:val="18"/>
                <w:szCs w:val="18"/>
              </w:rPr>
            </w:pPr>
            <w:r w:rsidRPr="008D428C">
              <w:rPr>
                <w:rFonts w:asciiTheme="minorHAnsi" w:hAnsiTheme="minorHAnsi" w:cstheme="minorHAnsi"/>
                <w:sz w:val="18"/>
                <w:szCs w:val="18"/>
              </w:rPr>
              <w:t>Hodnota úspory času pri pracovných cestách</w:t>
            </w:r>
            <w:r>
              <w:rPr>
                <w:rFonts w:asciiTheme="minorHAnsi" w:hAnsiTheme="minorHAnsi" w:cstheme="minorHAnsi"/>
                <w:sz w:val="18"/>
                <w:szCs w:val="18"/>
              </w:rPr>
              <w:t xml:space="preserve"> [Eur]</w:t>
            </w:r>
          </w:p>
        </w:tc>
        <w:tc>
          <w:tcPr>
            <w:tcW w:w="1276" w:type="dxa"/>
            <w:shd w:val="clear" w:color="auto" w:fill="auto"/>
            <w:noWrap/>
            <w:vAlign w:val="center"/>
            <w:hideMark/>
          </w:tcPr>
          <w:p w14:paraId="4258F119"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3 852 534</w:t>
            </w:r>
          </w:p>
        </w:tc>
        <w:tc>
          <w:tcPr>
            <w:tcW w:w="1134" w:type="dxa"/>
            <w:shd w:val="clear" w:color="auto" w:fill="auto"/>
            <w:noWrap/>
            <w:vAlign w:val="center"/>
            <w:hideMark/>
          </w:tcPr>
          <w:p w14:paraId="69261D4D"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171 007</w:t>
            </w:r>
          </w:p>
        </w:tc>
        <w:tc>
          <w:tcPr>
            <w:tcW w:w="1134" w:type="dxa"/>
            <w:shd w:val="clear" w:color="auto" w:fill="auto"/>
            <w:noWrap/>
            <w:vAlign w:val="center"/>
            <w:hideMark/>
          </w:tcPr>
          <w:p w14:paraId="763F0F47"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357 176</w:t>
            </w:r>
          </w:p>
        </w:tc>
        <w:tc>
          <w:tcPr>
            <w:tcW w:w="1134" w:type="dxa"/>
            <w:shd w:val="clear" w:color="auto" w:fill="auto"/>
            <w:noWrap/>
            <w:vAlign w:val="center"/>
            <w:hideMark/>
          </w:tcPr>
          <w:p w14:paraId="6C39FDBE"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745 249</w:t>
            </w:r>
          </w:p>
        </w:tc>
        <w:tc>
          <w:tcPr>
            <w:tcW w:w="1134" w:type="dxa"/>
            <w:shd w:val="clear" w:color="auto" w:fill="auto"/>
            <w:noWrap/>
            <w:vAlign w:val="center"/>
            <w:hideMark/>
          </w:tcPr>
          <w:p w14:paraId="07C8520C"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1 164 482</w:t>
            </w:r>
          </w:p>
        </w:tc>
        <w:tc>
          <w:tcPr>
            <w:tcW w:w="1134" w:type="dxa"/>
            <w:shd w:val="clear" w:color="auto" w:fill="auto"/>
            <w:noWrap/>
            <w:vAlign w:val="center"/>
            <w:hideMark/>
          </w:tcPr>
          <w:p w14:paraId="2B0038C1"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sz w:val="18"/>
                <w:szCs w:val="18"/>
              </w:rPr>
              <w:t>1 414 620</w:t>
            </w:r>
          </w:p>
        </w:tc>
      </w:tr>
      <w:tr w:rsidR="00F6764A" w:rsidRPr="008D428C" w14:paraId="0A4FBFAB" w14:textId="77777777" w:rsidTr="00F6764A">
        <w:trPr>
          <w:trHeight w:val="225"/>
        </w:trPr>
        <w:tc>
          <w:tcPr>
            <w:tcW w:w="2263" w:type="dxa"/>
            <w:shd w:val="clear" w:color="auto" w:fill="BDD6EE" w:themeFill="accent1" w:themeFillTint="66"/>
            <w:noWrap/>
            <w:vAlign w:val="bottom"/>
            <w:hideMark/>
          </w:tcPr>
          <w:p w14:paraId="5D8534D3" w14:textId="77777777" w:rsidR="00F6764A" w:rsidRPr="008D428C" w:rsidRDefault="00F6764A" w:rsidP="00F6764A">
            <w:pPr>
              <w:spacing w:before="0" w:after="0" w:line="240" w:lineRule="auto"/>
              <w:jc w:val="left"/>
              <w:rPr>
                <w:rFonts w:asciiTheme="minorHAnsi" w:hAnsiTheme="minorHAnsi" w:cstheme="minorHAnsi"/>
                <w:sz w:val="18"/>
                <w:szCs w:val="18"/>
              </w:rPr>
            </w:pPr>
            <w:r w:rsidRPr="008D428C">
              <w:rPr>
                <w:rFonts w:asciiTheme="minorHAnsi" w:hAnsiTheme="minorHAnsi" w:cstheme="minorHAnsi"/>
                <w:b/>
                <w:bCs/>
                <w:sz w:val="18"/>
                <w:szCs w:val="18"/>
              </w:rPr>
              <w:t>Úspora času celkom</w:t>
            </w:r>
            <w:r>
              <w:rPr>
                <w:rFonts w:asciiTheme="minorHAnsi" w:hAnsiTheme="minorHAnsi" w:cstheme="minorHAnsi"/>
                <w:b/>
                <w:bCs/>
                <w:sz w:val="18"/>
                <w:szCs w:val="18"/>
              </w:rPr>
              <w:t xml:space="preserve"> [Eur]</w:t>
            </w:r>
          </w:p>
        </w:tc>
        <w:tc>
          <w:tcPr>
            <w:tcW w:w="1276" w:type="dxa"/>
            <w:shd w:val="clear" w:color="auto" w:fill="BDD6EE" w:themeFill="accent1" w:themeFillTint="66"/>
            <w:noWrap/>
            <w:vAlign w:val="center"/>
            <w:hideMark/>
          </w:tcPr>
          <w:p w14:paraId="5A486E8C"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b/>
                <w:bCs/>
                <w:sz w:val="18"/>
                <w:szCs w:val="18"/>
              </w:rPr>
              <w:t>3 852 534</w:t>
            </w:r>
          </w:p>
        </w:tc>
        <w:tc>
          <w:tcPr>
            <w:tcW w:w="1134" w:type="dxa"/>
            <w:shd w:val="clear" w:color="auto" w:fill="BDD6EE" w:themeFill="accent1" w:themeFillTint="66"/>
            <w:noWrap/>
            <w:vAlign w:val="center"/>
            <w:hideMark/>
          </w:tcPr>
          <w:p w14:paraId="27C5E048"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b/>
                <w:bCs/>
                <w:sz w:val="18"/>
                <w:szCs w:val="18"/>
              </w:rPr>
              <w:t>171 007</w:t>
            </w:r>
          </w:p>
        </w:tc>
        <w:tc>
          <w:tcPr>
            <w:tcW w:w="1134" w:type="dxa"/>
            <w:shd w:val="clear" w:color="auto" w:fill="BDD6EE" w:themeFill="accent1" w:themeFillTint="66"/>
            <w:noWrap/>
            <w:vAlign w:val="center"/>
            <w:hideMark/>
          </w:tcPr>
          <w:p w14:paraId="6D39E173"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b/>
                <w:bCs/>
                <w:sz w:val="18"/>
                <w:szCs w:val="18"/>
              </w:rPr>
              <w:t>357 176</w:t>
            </w:r>
          </w:p>
        </w:tc>
        <w:tc>
          <w:tcPr>
            <w:tcW w:w="1134" w:type="dxa"/>
            <w:shd w:val="clear" w:color="auto" w:fill="BDD6EE" w:themeFill="accent1" w:themeFillTint="66"/>
            <w:noWrap/>
            <w:vAlign w:val="center"/>
            <w:hideMark/>
          </w:tcPr>
          <w:p w14:paraId="608AFAED"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b/>
                <w:bCs/>
                <w:sz w:val="18"/>
                <w:szCs w:val="18"/>
              </w:rPr>
              <w:t>745 249</w:t>
            </w:r>
          </w:p>
        </w:tc>
        <w:tc>
          <w:tcPr>
            <w:tcW w:w="1134" w:type="dxa"/>
            <w:shd w:val="clear" w:color="auto" w:fill="BDD6EE" w:themeFill="accent1" w:themeFillTint="66"/>
            <w:noWrap/>
            <w:vAlign w:val="center"/>
            <w:hideMark/>
          </w:tcPr>
          <w:p w14:paraId="4EC94391"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b/>
                <w:bCs/>
                <w:sz w:val="18"/>
                <w:szCs w:val="18"/>
              </w:rPr>
              <w:t>1 164 482</w:t>
            </w:r>
          </w:p>
        </w:tc>
        <w:tc>
          <w:tcPr>
            <w:tcW w:w="1134" w:type="dxa"/>
            <w:shd w:val="clear" w:color="auto" w:fill="BDD6EE" w:themeFill="accent1" w:themeFillTint="66"/>
            <w:noWrap/>
            <w:vAlign w:val="center"/>
            <w:hideMark/>
          </w:tcPr>
          <w:p w14:paraId="1A31F9FB" w14:textId="77777777" w:rsidR="00F6764A" w:rsidRPr="008D428C" w:rsidRDefault="00F6764A" w:rsidP="00F6764A">
            <w:pPr>
              <w:spacing w:before="0" w:after="0" w:line="240" w:lineRule="auto"/>
              <w:jc w:val="right"/>
              <w:rPr>
                <w:rFonts w:asciiTheme="minorHAnsi" w:hAnsiTheme="minorHAnsi" w:cstheme="minorHAnsi"/>
                <w:sz w:val="18"/>
                <w:szCs w:val="18"/>
              </w:rPr>
            </w:pPr>
            <w:r w:rsidRPr="008D428C">
              <w:rPr>
                <w:rFonts w:asciiTheme="minorHAnsi" w:hAnsiTheme="minorHAnsi" w:cstheme="minorHAnsi"/>
                <w:b/>
                <w:bCs/>
                <w:sz w:val="18"/>
                <w:szCs w:val="18"/>
              </w:rPr>
              <w:t>1 414 620</w:t>
            </w:r>
          </w:p>
        </w:tc>
      </w:tr>
    </w:tbl>
    <w:p w14:paraId="4249B977" w14:textId="4B719C79" w:rsidR="00F6764A" w:rsidRDefault="00F6764A" w:rsidP="005A7D49">
      <w:r w:rsidRPr="008D428C">
        <w:rPr>
          <w:i/>
          <w:sz w:val="16"/>
        </w:rPr>
        <w:t xml:space="preserve">Zdroj: Príloha </w:t>
      </w:r>
      <w:r>
        <w:rPr>
          <w:i/>
          <w:sz w:val="16"/>
        </w:rPr>
        <w:t>2</w:t>
      </w:r>
      <w:r w:rsidRPr="008D428C">
        <w:rPr>
          <w:i/>
          <w:sz w:val="16"/>
        </w:rPr>
        <w:t>, hárok 07</w:t>
      </w:r>
      <w:r>
        <w:t xml:space="preserve">   </w:t>
      </w:r>
    </w:p>
    <w:p w14:paraId="608CB6A1" w14:textId="77777777" w:rsidR="004C1394" w:rsidRDefault="004C1394" w:rsidP="005A7D49"/>
    <w:p w14:paraId="435337A6" w14:textId="3AB2A21F" w:rsidR="005A7D49" w:rsidRDefault="005A7D49" w:rsidP="00A40297">
      <w:pPr>
        <w:pStyle w:val="Heading3"/>
      </w:pPr>
      <w:bookmarkStart w:id="189" w:name="_Toc87348770"/>
      <w:r>
        <w:t>Výsledky Ekonomickej analýzy</w:t>
      </w:r>
      <w:r w:rsidR="0095790F">
        <w:t xml:space="preserve"> – Variant 2</w:t>
      </w:r>
      <w:bookmarkEnd w:id="189"/>
    </w:p>
    <w:p w14:paraId="6A8AACE6" w14:textId="5F13F33D" w:rsidR="005A7D49" w:rsidRDefault="005A7D49" w:rsidP="005A7D49">
      <w:r>
        <w:t>Na základe hotovostných tokov, ekonomických nákladov a príjmov variantu 2 bola stanovená ekonomická čistá súčasná hodnota investície ENPV. Ako bolo vysvetlené vyššie, externality nie sú pre projekt implementácie relevantné a nie sú v ekonomickej analýze uplatnené.</w:t>
      </w:r>
    </w:p>
    <w:p w14:paraId="6517EC56" w14:textId="77777777" w:rsidR="005A7D49" w:rsidRDefault="005A7D49" w:rsidP="005A7D49">
      <w:r>
        <w:t xml:space="preserve">Sumárne údaje (údaje v stĺpci „Celkom“) sú diskontované s ekonomickou diskontnou mierou 5 %. </w:t>
      </w:r>
    </w:p>
    <w:p w14:paraId="671C3704" w14:textId="697FAAB4" w:rsidR="005A7D49" w:rsidRDefault="005A7D49" w:rsidP="005A7D49">
      <w:pPr>
        <w:pStyle w:val="Caption"/>
      </w:pPr>
      <w:r>
        <w:t xml:space="preserve">Tab. </w:t>
      </w:r>
      <w:r>
        <w:fldChar w:fldCharType="begin"/>
      </w:r>
      <w:r>
        <w:instrText xml:space="preserve"> SEQ Tab. \* ARABIC </w:instrText>
      </w:r>
      <w:r>
        <w:fldChar w:fldCharType="separate"/>
      </w:r>
      <w:r w:rsidR="00A86720">
        <w:rPr>
          <w:noProof/>
        </w:rPr>
        <w:t>62</w:t>
      </w:r>
      <w:r>
        <w:fldChar w:fldCharType="end"/>
      </w:r>
      <w:r>
        <w:t xml:space="preserve"> - Ekonomická čistá súčasná hodnota investície</w:t>
      </w:r>
    </w:p>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2263"/>
        <w:gridCol w:w="1276"/>
        <w:gridCol w:w="1134"/>
        <w:gridCol w:w="1134"/>
        <w:gridCol w:w="1134"/>
        <w:gridCol w:w="1134"/>
        <w:gridCol w:w="1134"/>
      </w:tblGrid>
      <w:tr w:rsidR="005A7D49" w:rsidRPr="00885988" w14:paraId="56CA5FF2" w14:textId="77777777" w:rsidTr="00A40297">
        <w:trPr>
          <w:trHeight w:val="450"/>
        </w:trPr>
        <w:tc>
          <w:tcPr>
            <w:tcW w:w="2263" w:type="dxa"/>
            <w:shd w:val="clear" w:color="auto" w:fill="BDD6EE" w:themeFill="accent1" w:themeFillTint="66"/>
            <w:noWrap/>
            <w:vAlign w:val="center"/>
            <w:hideMark/>
          </w:tcPr>
          <w:p w14:paraId="40778A51" w14:textId="77777777" w:rsidR="005A7D49" w:rsidRPr="00885988" w:rsidRDefault="005A7D49" w:rsidP="00C81C52">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11.1 Čistá súčasná hodnota investície</w:t>
            </w:r>
          </w:p>
        </w:tc>
        <w:tc>
          <w:tcPr>
            <w:tcW w:w="1276" w:type="dxa"/>
            <w:shd w:val="clear" w:color="auto" w:fill="BDD6EE" w:themeFill="accent1" w:themeFillTint="66"/>
            <w:vAlign w:val="center"/>
            <w:hideMark/>
          </w:tcPr>
          <w:p w14:paraId="4502148D" w14:textId="77777777" w:rsidR="005A7D49" w:rsidRPr="00885988" w:rsidRDefault="005A7D49" w:rsidP="005A7D49">
            <w:pPr>
              <w:spacing w:before="0" w:after="0" w:line="240" w:lineRule="auto"/>
              <w:jc w:val="center"/>
              <w:rPr>
                <w:rFonts w:asciiTheme="minorHAnsi" w:hAnsiTheme="minorHAnsi" w:cs="Arial"/>
                <w:bCs/>
                <w:sz w:val="18"/>
                <w:szCs w:val="18"/>
              </w:rPr>
            </w:pPr>
            <w:r w:rsidRPr="00885988">
              <w:rPr>
                <w:rFonts w:asciiTheme="minorHAnsi" w:hAnsiTheme="minorHAnsi" w:cs="Arial"/>
                <w:bCs/>
                <w:sz w:val="18"/>
                <w:szCs w:val="18"/>
              </w:rPr>
              <w:t>Celkom (diskontované)</w:t>
            </w:r>
          </w:p>
        </w:tc>
        <w:tc>
          <w:tcPr>
            <w:tcW w:w="1134" w:type="dxa"/>
            <w:shd w:val="clear" w:color="auto" w:fill="BDD6EE" w:themeFill="accent1" w:themeFillTint="66"/>
            <w:noWrap/>
            <w:vAlign w:val="center"/>
            <w:hideMark/>
          </w:tcPr>
          <w:p w14:paraId="7BDB37DE" w14:textId="77777777" w:rsidR="005A7D49" w:rsidRPr="00885988" w:rsidRDefault="005A7D49" w:rsidP="005A7D49">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2022</w:t>
            </w:r>
          </w:p>
        </w:tc>
        <w:tc>
          <w:tcPr>
            <w:tcW w:w="1134" w:type="dxa"/>
            <w:shd w:val="clear" w:color="auto" w:fill="BDD6EE" w:themeFill="accent1" w:themeFillTint="66"/>
            <w:noWrap/>
            <w:vAlign w:val="center"/>
            <w:hideMark/>
          </w:tcPr>
          <w:p w14:paraId="23FB26E7" w14:textId="77777777" w:rsidR="005A7D49" w:rsidRPr="00885988" w:rsidRDefault="005A7D49" w:rsidP="005A7D49">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2023</w:t>
            </w:r>
          </w:p>
        </w:tc>
        <w:tc>
          <w:tcPr>
            <w:tcW w:w="1134" w:type="dxa"/>
            <w:shd w:val="clear" w:color="auto" w:fill="BDD6EE" w:themeFill="accent1" w:themeFillTint="66"/>
            <w:noWrap/>
            <w:vAlign w:val="center"/>
            <w:hideMark/>
          </w:tcPr>
          <w:p w14:paraId="75102B14" w14:textId="77777777" w:rsidR="005A7D49" w:rsidRPr="00885988" w:rsidRDefault="005A7D49" w:rsidP="005A7D49">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2024</w:t>
            </w:r>
          </w:p>
        </w:tc>
        <w:tc>
          <w:tcPr>
            <w:tcW w:w="1134" w:type="dxa"/>
            <w:shd w:val="clear" w:color="auto" w:fill="BDD6EE" w:themeFill="accent1" w:themeFillTint="66"/>
            <w:noWrap/>
            <w:vAlign w:val="center"/>
            <w:hideMark/>
          </w:tcPr>
          <w:p w14:paraId="0851A331" w14:textId="77777777" w:rsidR="005A7D49" w:rsidRPr="00885988" w:rsidRDefault="005A7D49" w:rsidP="005A7D49">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2025</w:t>
            </w:r>
          </w:p>
        </w:tc>
        <w:tc>
          <w:tcPr>
            <w:tcW w:w="1134" w:type="dxa"/>
            <w:shd w:val="clear" w:color="auto" w:fill="BDD6EE" w:themeFill="accent1" w:themeFillTint="66"/>
            <w:noWrap/>
            <w:vAlign w:val="center"/>
            <w:hideMark/>
          </w:tcPr>
          <w:p w14:paraId="3EEE4B45" w14:textId="77777777" w:rsidR="005A7D49" w:rsidRPr="00885988" w:rsidRDefault="005A7D49" w:rsidP="005A7D49">
            <w:pPr>
              <w:spacing w:before="0" w:after="0" w:line="240" w:lineRule="auto"/>
              <w:jc w:val="center"/>
              <w:rPr>
                <w:rFonts w:asciiTheme="minorHAnsi" w:hAnsiTheme="minorHAnsi" w:cs="Arial"/>
                <w:iCs/>
                <w:sz w:val="18"/>
                <w:szCs w:val="18"/>
              </w:rPr>
            </w:pPr>
            <w:r w:rsidRPr="00885988">
              <w:rPr>
                <w:rFonts w:asciiTheme="minorHAnsi" w:hAnsiTheme="minorHAnsi" w:cs="Arial"/>
                <w:iCs/>
                <w:sz w:val="18"/>
                <w:szCs w:val="18"/>
              </w:rPr>
              <w:t>2026</w:t>
            </w:r>
          </w:p>
        </w:tc>
      </w:tr>
      <w:tr w:rsidR="00726B8F" w:rsidRPr="00885988" w14:paraId="0C23B266" w14:textId="77777777" w:rsidTr="006D3285">
        <w:trPr>
          <w:trHeight w:val="225"/>
        </w:trPr>
        <w:tc>
          <w:tcPr>
            <w:tcW w:w="2263" w:type="dxa"/>
            <w:shd w:val="clear" w:color="auto" w:fill="DEEAF6" w:themeFill="accent1" w:themeFillTint="33"/>
            <w:noWrap/>
            <w:vAlign w:val="center"/>
            <w:hideMark/>
          </w:tcPr>
          <w:p w14:paraId="2CCFA480" w14:textId="77777777" w:rsidR="00726B8F" w:rsidRPr="00885988" w:rsidRDefault="00726B8F" w:rsidP="00726B8F">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Investičné náklady</w:t>
            </w:r>
          </w:p>
        </w:tc>
        <w:tc>
          <w:tcPr>
            <w:tcW w:w="1276" w:type="dxa"/>
            <w:shd w:val="clear" w:color="auto" w:fill="auto"/>
            <w:noWrap/>
            <w:vAlign w:val="center"/>
            <w:hideMark/>
          </w:tcPr>
          <w:p w14:paraId="34E69752" w14:textId="2408A3DF" w:rsidR="00726B8F" w:rsidRPr="00EF1CB7" w:rsidRDefault="00726B8F" w:rsidP="006D3285">
            <w:pPr>
              <w:spacing w:before="0" w:after="0" w:line="240" w:lineRule="auto"/>
              <w:jc w:val="right"/>
              <w:rPr>
                <w:rFonts w:asciiTheme="minorHAnsi" w:hAnsiTheme="minorHAnsi" w:cstheme="minorHAnsi"/>
                <w:sz w:val="18"/>
                <w:szCs w:val="18"/>
              </w:rPr>
            </w:pPr>
            <w:r w:rsidRPr="0034023A">
              <w:rPr>
                <w:rFonts w:cs="Arial"/>
                <w:sz w:val="16"/>
                <w:szCs w:val="16"/>
              </w:rPr>
              <w:t xml:space="preserve">3 011 853 </w:t>
            </w:r>
          </w:p>
        </w:tc>
        <w:tc>
          <w:tcPr>
            <w:tcW w:w="1134" w:type="dxa"/>
            <w:shd w:val="clear" w:color="auto" w:fill="auto"/>
            <w:noWrap/>
            <w:vAlign w:val="center"/>
            <w:hideMark/>
          </w:tcPr>
          <w:p w14:paraId="0D47EFF2" w14:textId="7A8364B2"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3 011 853</w:t>
            </w:r>
          </w:p>
        </w:tc>
        <w:tc>
          <w:tcPr>
            <w:tcW w:w="1134" w:type="dxa"/>
            <w:shd w:val="clear" w:color="auto" w:fill="auto"/>
            <w:noWrap/>
            <w:vAlign w:val="center"/>
            <w:hideMark/>
          </w:tcPr>
          <w:p w14:paraId="1BCCD183" w14:textId="1DBAF3D5"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c>
          <w:tcPr>
            <w:tcW w:w="1134" w:type="dxa"/>
            <w:shd w:val="clear" w:color="auto" w:fill="auto"/>
            <w:noWrap/>
            <w:vAlign w:val="center"/>
            <w:hideMark/>
          </w:tcPr>
          <w:p w14:paraId="1B8E43B7" w14:textId="2828ECE6"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c>
          <w:tcPr>
            <w:tcW w:w="1134" w:type="dxa"/>
            <w:shd w:val="clear" w:color="auto" w:fill="auto"/>
            <w:noWrap/>
            <w:vAlign w:val="center"/>
            <w:hideMark/>
          </w:tcPr>
          <w:p w14:paraId="3BC89501" w14:textId="45150813"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c>
          <w:tcPr>
            <w:tcW w:w="1134" w:type="dxa"/>
            <w:shd w:val="clear" w:color="auto" w:fill="auto"/>
            <w:noWrap/>
            <w:vAlign w:val="center"/>
            <w:hideMark/>
          </w:tcPr>
          <w:p w14:paraId="190912D2" w14:textId="52E3968B" w:rsidR="00726B8F" w:rsidRPr="00EF1CB7" w:rsidRDefault="00726B8F" w:rsidP="006D3285">
            <w:pPr>
              <w:spacing w:before="0" w:after="0" w:line="240" w:lineRule="auto"/>
              <w:jc w:val="right"/>
              <w:rPr>
                <w:rFonts w:asciiTheme="minorHAnsi" w:hAnsiTheme="minorHAnsi" w:cstheme="minorHAnsi"/>
                <w:sz w:val="18"/>
                <w:szCs w:val="18"/>
              </w:rPr>
            </w:pPr>
            <w:r w:rsidRPr="0059066B">
              <w:rPr>
                <w:rFonts w:cs="Arial"/>
                <w:sz w:val="16"/>
                <w:szCs w:val="16"/>
              </w:rPr>
              <w:t>0</w:t>
            </w:r>
          </w:p>
        </w:tc>
      </w:tr>
      <w:tr w:rsidR="00F6764A" w:rsidRPr="00885988" w14:paraId="56AD0FC9" w14:textId="77777777" w:rsidTr="00366F12">
        <w:trPr>
          <w:trHeight w:val="225"/>
        </w:trPr>
        <w:tc>
          <w:tcPr>
            <w:tcW w:w="2263" w:type="dxa"/>
            <w:shd w:val="clear" w:color="auto" w:fill="DEEAF6" w:themeFill="accent1" w:themeFillTint="33"/>
            <w:noWrap/>
            <w:vAlign w:val="center"/>
            <w:hideMark/>
          </w:tcPr>
          <w:p w14:paraId="507F97B2"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Prevádzkové náklady</w:t>
            </w:r>
          </w:p>
        </w:tc>
        <w:tc>
          <w:tcPr>
            <w:tcW w:w="1276" w:type="dxa"/>
            <w:shd w:val="clear" w:color="auto" w:fill="auto"/>
            <w:noWrap/>
            <w:vAlign w:val="bottom"/>
            <w:hideMark/>
          </w:tcPr>
          <w:p w14:paraId="49EB5AAF" w14:textId="137BADA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xml:space="preserve">343 156 146 </w:t>
            </w:r>
          </w:p>
        </w:tc>
        <w:tc>
          <w:tcPr>
            <w:tcW w:w="1134" w:type="dxa"/>
            <w:shd w:val="clear" w:color="auto" w:fill="auto"/>
            <w:noWrap/>
            <w:vAlign w:val="bottom"/>
            <w:hideMark/>
          </w:tcPr>
          <w:p w14:paraId="6502CF4D" w14:textId="0AC0D9E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70 567 451</w:t>
            </w:r>
          </w:p>
        </w:tc>
        <w:tc>
          <w:tcPr>
            <w:tcW w:w="1134" w:type="dxa"/>
            <w:shd w:val="clear" w:color="auto" w:fill="auto"/>
            <w:noWrap/>
            <w:vAlign w:val="bottom"/>
            <w:hideMark/>
          </w:tcPr>
          <w:p w14:paraId="37D7B41C" w14:textId="237503CF"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61 279 462</w:t>
            </w:r>
          </w:p>
        </w:tc>
        <w:tc>
          <w:tcPr>
            <w:tcW w:w="1134" w:type="dxa"/>
            <w:shd w:val="clear" w:color="auto" w:fill="auto"/>
            <w:noWrap/>
            <w:vAlign w:val="bottom"/>
            <w:hideMark/>
          </w:tcPr>
          <w:p w14:paraId="692568AA" w14:textId="5B1FE43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60 228 080</w:t>
            </w:r>
          </w:p>
        </w:tc>
        <w:tc>
          <w:tcPr>
            <w:tcW w:w="1134" w:type="dxa"/>
            <w:shd w:val="clear" w:color="auto" w:fill="auto"/>
            <w:noWrap/>
            <w:vAlign w:val="bottom"/>
            <w:hideMark/>
          </w:tcPr>
          <w:p w14:paraId="5B2D416F" w14:textId="71828E1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59 770 556</w:t>
            </w:r>
          </w:p>
        </w:tc>
        <w:tc>
          <w:tcPr>
            <w:tcW w:w="1134" w:type="dxa"/>
            <w:shd w:val="clear" w:color="auto" w:fill="auto"/>
            <w:noWrap/>
            <w:vAlign w:val="bottom"/>
            <w:hideMark/>
          </w:tcPr>
          <w:p w14:paraId="72342CF1" w14:textId="3891AAC0"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59 770 907</w:t>
            </w:r>
          </w:p>
        </w:tc>
      </w:tr>
      <w:tr w:rsidR="00F6764A" w:rsidRPr="00885988" w14:paraId="3F97C58A" w14:textId="77777777" w:rsidTr="006D3285">
        <w:trPr>
          <w:trHeight w:val="225"/>
        </w:trPr>
        <w:tc>
          <w:tcPr>
            <w:tcW w:w="2263" w:type="dxa"/>
            <w:shd w:val="clear" w:color="auto" w:fill="BDD6EE" w:themeFill="accent1" w:themeFillTint="66"/>
            <w:noWrap/>
            <w:vAlign w:val="center"/>
            <w:hideMark/>
          </w:tcPr>
          <w:p w14:paraId="48438423" w14:textId="77777777" w:rsidR="00F6764A" w:rsidRPr="00885988" w:rsidRDefault="00F6764A" w:rsidP="00F6764A">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Celkové náklady</w:t>
            </w:r>
          </w:p>
        </w:tc>
        <w:tc>
          <w:tcPr>
            <w:tcW w:w="1276" w:type="dxa"/>
            <w:shd w:val="clear" w:color="auto" w:fill="BDD6EE" w:themeFill="accent1" w:themeFillTint="66"/>
            <w:noWrap/>
            <w:vAlign w:val="center"/>
            <w:hideMark/>
          </w:tcPr>
          <w:p w14:paraId="6130FEB1" w14:textId="4750499D"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346 167 999</w:t>
            </w:r>
          </w:p>
        </w:tc>
        <w:tc>
          <w:tcPr>
            <w:tcW w:w="1134" w:type="dxa"/>
            <w:shd w:val="clear" w:color="auto" w:fill="BDD6EE" w:themeFill="accent1" w:themeFillTint="66"/>
            <w:noWrap/>
            <w:vAlign w:val="center"/>
            <w:hideMark/>
          </w:tcPr>
          <w:p w14:paraId="2FA7AD2F" w14:textId="6E24D8E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73 579 303</w:t>
            </w:r>
          </w:p>
        </w:tc>
        <w:tc>
          <w:tcPr>
            <w:tcW w:w="1134" w:type="dxa"/>
            <w:shd w:val="clear" w:color="auto" w:fill="BDD6EE" w:themeFill="accent1" w:themeFillTint="66"/>
            <w:noWrap/>
            <w:vAlign w:val="center"/>
            <w:hideMark/>
          </w:tcPr>
          <w:p w14:paraId="4EABB898" w14:textId="16A24A6C"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61 279 462</w:t>
            </w:r>
          </w:p>
        </w:tc>
        <w:tc>
          <w:tcPr>
            <w:tcW w:w="1134" w:type="dxa"/>
            <w:shd w:val="clear" w:color="auto" w:fill="BDD6EE" w:themeFill="accent1" w:themeFillTint="66"/>
            <w:noWrap/>
            <w:vAlign w:val="center"/>
            <w:hideMark/>
          </w:tcPr>
          <w:p w14:paraId="2CD574DD" w14:textId="6B0DDABD"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60 228 080</w:t>
            </w:r>
          </w:p>
        </w:tc>
        <w:tc>
          <w:tcPr>
            <w:tcW w:w="1134" w:type="dxa"/>
            <w:shd w:val="clear" w:color="auto" w:fill="BDD6EE" w:themeFill="accent1" w:themeFillTint="66"/>
            <w:noWrap/>
            <w:vAlign w:val="center"/>
            <w:hideMark/>
          </w:tcPr>
          <w:p w14:paraId="13F10D5E" w14:textId="0D8D65C5"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59 770 556</w:t>
            </w:r>
          </w:p>
        </w:tc>
        <w:tc>
          <w:tcPr>
            <w:tcW w:w="1134" w:type="dxa"/>
            <w:shd w:val="clear" w:color="auto" w:fill="BDD6EE" w:themeFill="accent1" w:themeFillTint="66"/>
            <w:noWrap/>
            <w:vAlign w:val="center"/>
            <w:hideMark/>
          </w:tcPr>
          <w:p w14:paraId="219A82C7" w14:textId="0485F9A2"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59 770 907</w:t>
            </w:r>
          </w:p>
        </w:tc>
      </w:tr>
      <w:tr w:rsidR="00F6764A" w:rsidRPr="00885988" w14:paraId="3EFD1FA5" w14:textId="77777777" w:rsidTr="006D3285">
        <w:trPr>
          <w:trHeight w:val="225"/>
        </w:trPr>
        <w:tc>
          <w:tcPr>
            <w:tcW w:w="2263" w:type="dxa"/>
            <w:shd w:val="clear" w:color="auto" w:fill="DEEAF6" w:themeFill="accent1" w:themeFillTint="33"/>
            <w:noWrap/>
            <w:vAlign w:val="center"/>
            <w:hideMark/>
          </w:tcPr>
          <w:p w14:paraId="3C821048"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Príjmy z výberu mýta</w:t>
            </w:r>
          </w:p>
        </w:tc>
        <w:tc>
          <w:tcPr>
            <w:tcW w:w="1276" w:type="dxa"/>
            <w:shd w:val="clear" w:color="auto" w:fill="auto"/>
            <w:noWrap/>
            <w:vAlign w:val="center"/>
            <w:hideMark/>
          </w:tcPr>
          <w:p w14:paraId="64B76921" w14:textId="22C65EC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1 367 204 998</w:t>
            </w:r>
          </w:p>
        </w:tc>
        <w:tc>
          <w:tcPr>
            <w:tcW w:w="1134" w:type="dxa"/>
            <w:shd w:val="clear" w:color="auto" w:fill="auto"/>
            <w:noWrap/>
            <w:vAlign w:val="center"/>
            <w:hideMark/>
          </w:tcPr>
          <w:p w14:paraId="6B49020F" w14:textId="2F2E77C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233 655 755</w:t>
            </w:r>
          </w:p>
        </w:tc>
        <w:tc>
          <w:tcPr>
            <w:tcW w:w="1134" w:type="dxa"/>
            <w:shd w:val="clear" w:color="auto" w:fill="auto"/>
            <w:noWrap/>
            <w:vAlign w:val="center"/>
            <w:hideMark/>
          </w:tcPr>
          <w:p w14:paraId="6AE0E8F1" w14:textId="24B58FFE"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245 504 057</w:t>
            </w:r>
          </w:p>
        </w:tc>
        <w:tc>
          <w:tcPr>
            <w:tcW w:w="1134" w:type="dxa"/>
            <w:shd w:val="clear" w:color="auto" w:fill="auto"/>
            <w:noWrap/>
            <w:vAlign w:val="center"/>
            <w:hideMark/>
          </w:tcPr>
          <w:p w14:paraId="51554A2E" w14:textId="6461CB6D"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248 712 141</w:t>
            </w:r>
          </w:p>
        </w:tc>
        <w:tc>
          <w:tcPr>
            <w:tcW w:w="1134" w:type="dxa"/>
            <w:shd w:val="clear" w:color="auto" w:fill="auto"/>
            <w:noWrap/>
            <w:vAlign w:val="center"/>
            <w:hideMark/>
          </w:tcPr>
          <w:p w14:paraId="500B9E74" w14:textId="16C611B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251 653 366</w:t>
            </w:r>
          </w:p>
        </w:tc>
        <w:tc>
          <w:tcPr>
            <w:tcW w:w="1134" w:type="dxa"/>
            <w:shd w:val="clear" w:color="auto" w:fill="auto"/>
            <w:noWrap/>
            <w:vAlign w:val="center"/>
            <w:hideMark/>
          </w:tcPr>
          <w:p w14:paraId="68CA9683" w14:textId="47A2F37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255 239 016</w:t>
            </w:r>
          </w:p>
        </w:tc>
      </w:tr>
      <w:tr w:rsidR="00F6764A" w:rsidRPr="00885988" w14:paraId="1D29EE3D" w14:textId="77777777" w:rsidTr="006D3285">
        <w:trPr>
          <w:trHeight w:val="225"/>
        </w:trPr>
        <w:tc>
          <w:tcPr>
            <w:tcW w:w="2263" w:type="dxa"/>
            <w:shd w:val="clear" w:color="auto" w:fill="DEEAF6" w:themeFill="accent1" w:themeFillTint="33"/>
            <w:noWrap/>
            <w:vAlign w:val="center"/>
            <w:hideMark/>
          </w:tcPr>
          <w:p w14:paraId="0FB3C0AE"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času</w:t>
            </w:r>
          </w:p>
        </w:tc>
        <w:tc>
          <w:tcPr>
            <w:tcW w:w="1276" w:type="dxa"/>
            <w:shd w:val="clear" w:color="auto" w:fill="auto"/>
            <w:noWrap/>
            <w:vAlign w:val="center"/>
            <w:hideMark/>
          </w:tcPr>
          <w:p w14:paraId="7DF38E7A" w14:textId="51624550"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4 435 192</w:t>
            </w:r>
          </w:p>
        </w:tc>
        <w:tc>
          <w:tcPr>
            <w:tcW w:w="1134" w:type="dxa"/>
            <w:shd w:val="clear" w:color="auto" w:fill="auto"/>
            <w:noWrap/>
            <w:vAlign w:val="center"/>
            <w:hideMark/>
          </w:tcPr>
          <w:p w14:paraId="03ADD22A" w14:textId="4209F34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171 007</w:t>
            </w:r>
          </w:p>
        </w:tc>
        <w:tc>
          <w:tcPr>
            <w:tcW w:w="1134" w:type="dxa"/>
            <w:shd w:val="clear" w:color="auto" w:fill="auto"/>
            <w:noWrap/>
            <w:vAlign w:val="center"/>
            <w:hideMark/>
          </w:tcPr>
          <w:p w14:paraId="3E6441D7" w14:textId="12C746EF"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357 176</w:t>
            </w:r>
          </w:p>
        </w:tc>
        <w:tc>
          <w:tcPr>
            <w:tcW w:w="1134" w:type="dxa"/>
            <w:shd w:val="clear" w:color="auto" w:fill="auto"/>
            <w:noWrap/>
            <w:vAlign w:val="center"/>
            <w:hideMark/>
          </w:tcPr>
          <w:p w14:paraId="273EB1DE" w14:textId="01F90BA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745 249</w:t>
            </w:r>
          </w:p>
        </w:tc>
        <w:tc>
          <w:tcPr>
            <w:tcW w:w="1134" w:type="dxa"/>
            <w:shd w:val="clear" w:color="auto" w:fill="auto"/>
            <w:noWrap/>
            <w:vAlign w:val="center"/>
            <w:hideMark/>
          </w:tcPr>
          <w:p w14:paraId="2B3A668B" w14:textId="4A3FD9EF"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1 164 482</w:t>
            </w:r>
          </w:p>
        </w:tc>
        <w:tc>
          <w:tcPr>
            <w:tcW w:w="1134" w:type="dxa"/>
            <w:shd w:val="clear" w:color="auto" w:fill="auto"/>
            <w:noWrap/>
            <w:vAlign w:val="center"/>
            <w:hideMark/>
          </w:tcPr>
          <w:p w14:paraId="7A7CB49D" w14:textId="0E98736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1 414 620</w:t>
            </w:r>
          </w:p>
        </w:tc>
      </w:tr>
      <w:tr w:rsidR="00F6764A" w:rsidRPr="00885988" w14:paraId="79784882" w14:textId="77777777" w:rsidTr="006D3285">
        <w:trPr>
          <w:trHeight w:val="225"/>
        </w:trPr>
        <w:tc>
          <w:tcPr>
            <w:tcW w:w="2263" w:type="dxa"/>
            <w:shd w:val="clear" w:color="auto" w:fill="DEEAF6" w:themeFill="accent1" w:themeFillTint="33"/>
            <w:noWrap/>
            <w:vAlign w:val="center"/>
            <w:hideMark/>
          </w:tcPr>
          <w:p w14:paraId="6CA54FBB"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prevádzkových nákladov vozidiel</w:t>
            </w:r>
          </w:p>
        </w:tc>
        <w:tc>
          <w:tcPr>
            <w:tcW w:w="1276" w:type="dxa"/>
            <w:shd w:val="clear" w:color="auto" w:fill="auto"/>
            <w:noWrap/>
            <w:vAlign w:val="center"/>
            <w:hideMark/>
          </w:tcPr>
          <w:p w14:paraId="1CF0B445" w14:textId="098F1AA5"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xml:space="preserve">0 </w:t>
            </w:r>
          </w:p>
        </w:tc>
        <w:tc>
          <w:tcPr>
            <w:tcW w:w="1134" w:type="dxa"/>
            <w:shd w:val="clear" w:color="auto" w:fill="auto"/>
            <w:noWrap/>
            <w:vAlign w:val="center"/>
            <w:hideMark/>
          </w:tcPr>
          <w:p w14:paraId="59406DF1" w14:textId="51FDED9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17C69D35" w14:textId="1590251A"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3989A7E3" w14:textId="55EC243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70FA7AB1" w14:textId="5F36670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5441C03A" w14:textId="451AC2CB"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r>
      <w:tr w:rsidR="00F6764A" w:rsidRPr="00885988" w14:paraId="01C08FF2" w14:textId="77777777" w:rsidTr="006D3285">
        <w:trPr>
          <w:trHeight w:val="225"/>
        </w:trPr>
        <w:tc>
          <w:tcPr>
            <w:tcW w:w="2263" w:type="dxa"/>
            <w:shd w:val="clear" w:color="auto" w:fill="DEEAF6" w:themeFill="accent1" w:themeFillTint="33"/>
            <w:noWrap/>
            <w:vAlign w:val="center"/>
            <w:hideMark/>
          </w:tcPr>
          <w:p w14:paraId="1682A275"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na nehodovosti</w:t>
            </w:r>
          </w:p>
        </w:tc>
        <w:tc>
          <w:tcPr>
            <w:tcW w:w="1276" w:type="dxa"/>
            <w:shd w:val="clear" w:color="auto" w:fill="auto"/>
            <w:noWrap/>
            <w:vAlign w:val="center"/>
            <w:hideMark/>
          </w:tcPr>
          <w:p w14:paraId="2C9F2677" w14:textId="2EAFC46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xml:space="preserve">0 </w:t>
            </w:r>
          </w:p>
        </w:tc>
        <w:tc>
          <w:tcPr>
            <w:tcW w:w="1134" w:type="dxa"/>
            <w:shd w:val="clear" w:color="auto" w:fill="auto"/>
            <w:noWrap/>
            <w:vAlign w:val="center"/>
            <w:hideMark/>
          </w:tcPr>
          <w:p w14:paraId="70937367" w14:textId="280DA6E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63BF1DE4" w14:textId="2EC830A7"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35EAAE30" w14:textId="50FF368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072932AB" w14:textId="69DAE9C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52898BAF" w14:textId="0E4734E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r>
      <w:tr w:rsidR="00F6764A" w:rsidRPr="00885988" w14:paraId="7C7494C6" w14:textId="77777777" w:rsidTr="006D3285">
        <w:trPr>
          <w:trHeight w:val="225"/>
        </w:trPr>
        <w:tc>
          <w:tcPr>
            <w:tcW w:w="2263" w:type="dxa"/>
            <w:shd w:val="clear" w:color="auto" w:fill="DEEAF6" w:themeFill="accent1" w:themeFillTint="33"/>
            <w:noWrap/>
            <w:vAlign w:val="center"/>
            <w:hideMark/>
          </w:tcPr>
          <w:p w14:paraId="535EE272"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Úspora na externalitách</w:t>
            </w:r>
          </w:p>
        </w:tc>
        <w:tc>
          <w:tcPr>
            <w:tcW w:w="1276" w:type="dxa"/>
            <w:shd w:val="clear" w:color="auto" w:fill="auto"/>
            <w:noWrap/>
            <w:vAlign w:val="center"/>
            <w:hideMark/>
          </w:tcPr>
          <w:p w14:paraId="7A221DB5" w14:textId="5CC4A7C7"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xml:space="preserve">0 </w:t>
            </w:r>
          </w:p>
        </w:tc>
        <w:tc>
          <w:tcPr>
            <w:tcW w:w="1134" w:type="dxa"/>
            <w:shd w:val="clear" w:color="auto" w:fill="auto"/>
            <w:noWrap/>
            <w:vAlign w:val="center"/>
            <w:hideMark/>
          </w:tcPr>
          <w:p w14:paraId="09DAA7FC" w14:textId="7F6569C9"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246B3282" w14:textId="709844D2"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3F7D7566" w14:textId="1C950F6C"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4B0DB188" w14:textId="1D7D61B3"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67608253" w14:textId="6E19E41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r>
      <w:tr w:rsidR="00F6764A" w:rsidRPr="00885988" w14:paraId="680C9936" w14:textId="77777777" w:rsidTr="006D3285">
        <w:trPr>
          <w:trHeight w:val="225"/>
        </w:trPr>
        <w:tc>
          <w:tcPr>
            <w:tcW w:w="2263" w:type="dxa"/>
            <w:shd w:val="clear" w:color="auto" w:fill="BDD6EE" w:themeFill="accent1" w:themeFillTint="66"/>
            <w:noWrap/>
            <w:vAlign w:val="center"/>
            <w:hideMark/>
          </w:tcPr>
          <w:p w14:paraId="1F7C5BFB" w14:textId="77777777" w:rsidR="00F6764A" w:rsidRPr="00885988" w:rsidRDefault="00F6764A" w:rsidP="00F6764A">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Celkové prínosy</w:t>
            </w:r>
          </w:p>
        </w:tc>
        <w:tc>
          <w:tcPr>
            <w:tcW w:w="1276" w:type="dxa"/>
            <w:shd w:val="clear" w:color="auto" w:fill="BDD6EE" w:themeFill="accent1" w:themeFillTint="66"/>
            <w:noWrap/>
            <w:vAlign w:val="center"/>
            <w:hideMark/>
          </w:tcPr>
          <w:p w14:paraId="00E15CF7" w14:textId="72506547"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 xml:space="preserve">1 371 640 189 </w:t>
            </w:r>
          </w:p>
        </w:tc>
        <w:tc>
          <w:tcPr>
            <w:tcW w:w="1134" w:type="dxa"/>
            <w:shd w:val="clear" w:color="auto" w:fill="BDD6EE" w:themeFill="accent1" w:themeFillTint="66"/>
            <w:noWrap/>
            <w:vAlign w:val="center"/>
            <w:hideMark/>
          </w:tcPr>
          <w:p w14:paraId="60B82CB8" w14:textId="114A38AD"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233 826 761</w:t>
            </w:r>
          </w:p>
        </w:tc>
        <w:tc>
          <w:tcPr>
            <w:tcW w:w="1134" w:type="dxa"/>
            <w:shd w:val="clear" w:color="auto" w:fill="BDD6EE" w:themeFill="accent1" w:themeFillTint="66"/>
            <w:noWrap/>
            <w:vAlign w:val="center"/>
            <w:hideMark/>
          </w:tcPr>
          <w:p w14:paraId="14988981" w14:textId="676CFD44"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245 861 233</w:t>
            </w:r>
          </w:p>
        </w:tc>
        <w:tc>
          <w:tcPr>
            <w:tcW w:w="1134" w:type="dxa"/>
            <w:shd w:val="clear" w:color="auto" w:fill="BDD6EE" w:themeFill="accent1" w:themeFillTint="66"/>
            <w:noWrap/>
            <w:vAlign w:val="center"/>
            <w:hideMark/>
          </w:tcPr>
          <w:p w14:paraId="3ADFE611" w14:textId="5B3D114A"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249 457 390</w:t>
            </w:r>
          </w:p>
        </w:tc>
        <w:tc>
          <w:tcPr>
            <w:tcW w:w="1134" w:type="dxa"/>
            <w:shd w:val="clear" w:color="auto" w:fill="BDD6EE" w:themeFill="accent1" w:themeFillTint="66"/>
            <w:noWrap/>
            <w:vAlign w:val="center"/>
            <w:hideMark/>
          </w:tcPr>
          <w:p w14:paraId="3A89E99A" w14:textId="50CD19D3"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252 817 848</w:t>
            </w:r>
          </w:p>
        </w:tc>
        <w:tc>
          <w:tcPr>
            <w:tcW w:w="1134" w:type="dxa"/>
            <w:shd w:val="clear" w:color="auto" w:fill="BDD6EE" w:themeFill="accent1" w:themeFillTint="66"/>
            <w:noWrap/>
            <w:vAlign w:val="center"/>
            <w:hideMark/>
          </w:tcPr>
          <w:p w14:paraId="57D3811A" w14:textId="67649A9A"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256 653 636</w:t>
            </w:r>
          </w:p>
        </w:tc>
      </w:tr>
      <w:tr w:rsidR="00F6764A" w:rsidRPr="00885988" w14:paraId="4DEF7907" w14:textId="77777777" w:rsidTr="006D3285">
        <w:trPr>
          <w:trHeight w:val="225"/>
        </w:trPr>
        <w:tc>
          <w:tcPr>
            <w:tcW w:w="2263" w:type="dxa"/>
            <w:shd w:val="clear" w:color="auto" w:fill="DEEAF6" w:themeFill="accent1" w:themeFillTint="33"/>
            <w:noWrap/>
            <w:vAlign w:val="center"/>
            <w:hideMark/>
          </w:tcPr>
          <w:p w14:paraId="465E937E" w14:textId="77777777" w:rsidR="00F6764A" w:rsidRPr="00885988" w:rsidRDefault="00F6764A" w:rsidP="00F6764A">
            <w:pPr>
              <w:spacing w:before="0" w:after="0" w:line="240" w:lineRule="auto"/>
              <w:jc w:val="left"/>
              <w:rPr>
                <w:rFonts w:asciiTheme="minorHAnsi" w:hAnsiTheme="minorHAnsi" w:cs="Arial"/>
                <w:sz w:val="18"/>
                <w:szCs w:val="18"/>
              </w:rPr>
            </w:pPr>
            <w:r w:rsidRPr="00885988">
              <w:rPr>
                <w:rFonts w:asciiTheme="minorHAnsi" w:hAnsiTheme="minorHAnsi" w:cs="Arial"/>
                <w:sz w:val="18"/>
                <w:szCs w:val="18"/>
              </w:rPr>
              <w:t>Zostatková hodnota</w:t>
            </w:r>
          </w:p>
        </w:tc>
        <w:tc>
          <w:tcPr>
            <w:tcW w:w="1276" w:type="dxa"/>
            <w:shd w:val="clear" w:color="auto" w:fill="auto"/>
            <w:noWrap/>
            <w:vAlign w:val="center"/>
            <w:hideMark/>
          </w:tcPr>
          <w:p w14:paraId="354D31AD" w14:textId="198BF5D1"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xml:space="preserve">0 </w:t>
            </w:r>
          </w:p>
        </w:tc>
        <w:tc>
          <w:tcPr>
            <w:tcW w:w="1134" w:type="dxa"/>
            <w:shd w:val="clear" w:color="auto" w:fill="auto"/>
            <w:noWrap/>
            <w:vAlign w:val="center"/>
            <w:hideMark/>
          </w:tcPr>
          <w:p w14:paraId="6D7778B6" w14:textId="29620DAC"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1B5EC72B" w14:textId="31B3428C"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1E0B8993" w14:textId="450CBE24"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3BA994C9" w14:textId="14E73748"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 </w:t>
            </w:r>
          </w:p>
        </w:tc>
        <w:tc>
          <w:tcPr>
            <w:tcW w:w="1134" w:type="dxa"/>
            <w:shd w:val="clear" w:color="auto" w:fill="auto"/>
            <w:noWrap/>
            <w:vAlign w:val="center"/>
            <w:hideMark/>
          </w:tcPr>
          <w:p w14:paraId="73BDA853" w14:textId="05409496" w:rsidR="00F6764A" w:rsidRPr="00EF1CB7" w:rsidRDefault="00F6764A" w:rsidP="00F6764A">
            <w:pPr>
              <w:spacing w:before="0" w:after="0" w:line="240" w:lineRule="auto"/>
              <w:jc w:val="right"/>
              <w:rPr>
                <w:rFonts w:asciiTheme="minorHAnsi" w:hAnsiTheme="minorHAnsi" w:cstheme="minorHAnsi"/>
                <w:sz w:val="18"/>
                <w:szCs w:val="18"/>
              </w:rPr>
            </w:pPr>
            <w:r w:rsidRPr="0083643B">
              <w:rPr>
                <w:rFonts w:asciiTheme="minorHAnsi" w:hAnsiTheme="minorHAnsi" w:cstheme="minorHAnsi"/>
                <w:sz w:val="18"/>
                <w:szCs w:val="18"/>
              </w:rPr>
              <w:t>0</w:t>
            </w:r>
          </w:p>
        </w:tc>
      </w:tr>
      <w:tr w:rsidR="00F6764A" w:rsidRPr="00885988" w14:paraId="47E5D7A6" w14:textId="77777777" w:rsidTr="006D3285">
        <w:trPr>
          <w:trHeight w:val="225"/>
        </w:trPr>
        <w:tc>
          <w:tcPr>
            <w:tcW w:w="2263" w:type="dxa"/>
            <w:shd w:val="clear" w:color="auto" w:fill="BDD6EE" w:themeFill="accent1" w:themeFillTint="66"/>
            <w:noWrap/>
            <w:vAlign w:val="center"/>
            <w:hideMark/>
          </w:tcPr>
          <w:p w14:paraId="7702EB90" w14:textId="77777777" w:rsidR="00F6764A" w:rsidRPr="00885988" w:rsidRDefault="00F6764A" w:rsidP="00F6764A">
            <w:pPr>
              <w:spacing w:before="0" w:after="0" w:line="240" w:lineRule="auto"/>
              <w:jc w:val="left"/>
              <w:rPr>
                <w:rFonts w:asciiTheme="minorHAnsi" w:hAnsiTheme="minorHAnsi" w:cs="Arial"/>
                <w:b/>
                <w:bCs/>
                <w:sz w:val="18"/>
                <w:szCs w:val="18"/>
              </w:rPr>
            </w:pPr>
            <w:r w:rsidRPr="00885988">
              <w:rPr>
                <w:rFonts w:asciiTheme="minorHAnsi" w:hAnsiTheme="minorHAnsi" w:cs="Arial"/>
                <w:b/>
                <w:bCs/>
                <w:sz w:val="18"/>
                <w:szCs w:val="18"/>
              </w:rPr>
              <w:t>Čisté peňažné toky</w:t>
            </w:r>
          </w:p>
        </w:tc>
        <w:tc>
          <w:tcPr>
            <w:tcW w:w="1276" w:type="dxa"/>
            <w:shd w:val="clear" w:color="auto" w:fill="BDD6EE" w:themeFill="accent1" w:themeFillTint="66"/>
            <w:noWrap/>
            <w:vAlign w:val="center"/>
            <w:hideMark/>
          </w:tcPr>
          <w:p w14:paraId="4613F457" w14:textId="1990E04A"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 xml:space="preserve">1 025 472 190 </w:t>
            </w:r>
          </w:p>
        </w:tc>
        <w:tc>
          <w:tcPr>
            <w:tcW w:w="1134" w:type="dxa"/>
            <w:shd w:val="clear" w:color="auto" w:fill="BDD6EE" w:themeFill="accent1" w:themeFillTint="66"/>
            <w:noWrap/>
            <w:vAlign w:val="center"/>
            <w:hideMark/>
          </w:tcPr>
          <w:p w14:paraId="06917F5B" w14:textId="65F92749"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160 247 458</w:t>
            </w:r>
          </w:p>
        </w:tc>
        <w:tc>
          <w:tcPr>
            <w:tcW w:w="1134" w:type="dxa"/>
            <w:shd w:val="clear" w:color="auto" w:fill="BDD6EE" w:themeFill="accent1" w:themeFillTint="66"/>
            <w:noWrap/>
            <w:vAlign w:val="center"/>
            <w:hideMark/>
          </w:tcPr>
          <w:p w14:paraId="16CF800E" w14:textId="22650266"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184 581 772</w:t>
            </w:r>
          </w:p>
        </w:tc>
        <w:tc>
          <w:tcPr>
            <w:tcW w:w="1134" w:type="dxa"/>
            <w:shd w:val="clear" w:color="auto" w:fill="BDD6EE" w:themeFill="accent1" w:themeFillTint="66"/>
            <w:noWrap/>
            <w:vAlign w:val="center"/>
            <w:hideMark/>
          </w:tcPr>
          <w:p w14:paraId="31706331" w14:textId="1819C598"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189 229 310</w:t>
            </w:r>
          </w:p>
        </w:tc>
        <w:tc>
          <w:tcPr>
            <w:tcW w:w="1134" w:type="dxa"/>
            <w:shd w:val="clear" w:color="auto" w:fill="BDD6EE" w:themeFill="accent1" w:themeFillTint="66"/>
            <w:noWrap/>
            <w:vAlign w:val="center"/>
            <w:hideMark/>
          </w:tcPr>
          <w:p w14:paraId="3F9A1AEE" w14:textId="2FBE1716"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193 047 291</w:t>
            </w:r>
          </w:p>
        </w:tc>
        <w:tc>
          <w:tcPr>
            <w:tcW w:w="1134" w:type="dxa"/>
            <w:shd w:val="clear" w:color="auto" w:fill="BDD6EE" w:themeFill="accent1" w:themeFillTint="66"/>
            <w:noWrap/>
            <w:vAlign w:val="center"/>
            <w:hideMark/>
          </w:tcPr>
          <w:p w14:paraId="1607E4EB" w14:textId="2A8869AE" w:rsidR="00F6764A" w:rsidRPr="00EF1CB7" w:rsidRDefault="00F6764A" w:rsidP="00F6764A">
            <w:pPr>
              <w:spacing w:before="0" w:after="0" w:line="240" w:lineRule="auto"/>
              <w:jc w:val="right"/>
              <w:rPr>
                <w:rFonts w:asciiTheme="minorHAnsi" w:hAnsiTheme="minorHAnsi" w:cstheme="minorHAnsi"/>
                <w:b/>
                <w:bCs/>
                <w:sz w:val="18"/>
                <w:szCs w:val="18"/>
              </w:rPr>
            </w:pPr>
            <w:r w:rsidRPr="0083643B">
              <w:rPr>
                <w:rFonts w:asciiTheme="minorHAnsi" w:hAnsiTheme="minorHAnsi" w:cstheme="minorHAnsi"/>
                <w:b/>
                <w:bCs/>
                <w:sz w:val="18"/>
                <w:szCs w:val="18"/>
              </w:rPr>
              <w:t>196 882 729</w:t>
            </w:r>
          </w:p>
        </w:tc>
      </w:tr>
    </w:tbl>
    <w:p w14:paraId="578ED1B2" w14:textId="77777777" w:rsidR="005A7D49" w:rsidRDefault="005A7D49" w:rsidP="005A7D49"/>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4673"/>
        <w:gridCol w:w="4536"/>
      </w:tblGrid>
      <w:tr w:rsidR="00F6764A" w:rsidRPr="00885988" w14:paraId="7444E3FE" w14:textId="77777777" w:rsidTr="00366F12">
        <w:trPr>
          <w:trHeight w:val="240"/>
        </w:trPr>
        <w:tc>
          <w:tcPr>
            <w:tcW w:w="4673" w:type="dxa"/>
            <w:shd w:val="clear" w:color="auto" w:fill="DEEAF6" w:themeFill="accent1" w:themeFillTint="33"/>
            <w:noWrap/>
            <w:vAlign w:val="bottom"/>
            <w:hideMark/>
          </w:tcPr>
          <w:p w14:paraId="1D0F8411" w14:textId="77777777" w:rsidR="00F6764A" w:rsidRPr="00885988" w:rsidRDefault="00F6764A" w:rsidP="00F6764A">
            <w:pPr>
              <w:spacing w:before="0" w:after="0" w:line="240" w:lineRule="auto"/>
              <w:jc w:val="left"/>
              <w:rPr>
                <w:rFonts w:cs="Arial"/>
                <w:sz w:val="16"/>
                <w:szCs w:val="16"/>
              </w:rPr>
            </w:pPr>
            <w:r w:rsidRPr="00885988">
              <w:rPr>
                <w:rFonts w:cs="Arial"/>
                <w:sz w:val="16"/>
                <w:szCs w:val="16"/>
              </w:rPr>
              <w:t>Ekonomická čistá súčasná hodnota investície (ENPV)</w:t>
            </w:r>
          </w:p>
        </w:tc>
        <w:tc>
          <w:tcPr>
            <w:tcW w:w="4536" w:type="dxa"/>
            <w:vAlign w:val="bottom"/>
          </w:tcPr>
          <w:p w14:paraId="061B5CDA" w14:textId="2955DD49"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 xml:space="preserve">796 584 381 Eur </w:t>
            </w:r>
          </w:p>
        </w:tc>
      </w:tr>
      <w:tr w:rsidR="00F6764A" w:rsidRPr="00885988" w14:paraId="3D021568" w14:textId="77777777" w:rsidTr="00366F12">
        <w:trPr>
          <w:trHeight w:val="240"/>
        </w:trPr>
        <w:tc>
          <w:tcPr>
            <w:tcW w:w="4673" w:type="dxa"/>
            <w:shd w:val="clear" w:color="auto" w:fill="DEEAF6" w:themeFill="accent1" w:themeFillTint="33"/>
            <w:noWrap/>
            <w:vAlign w:val="bottom"/>
            <w:hideMark/>
          </w:tcPr>
          <w:p w14:paraId="11EB8216" w14:textId="77777777" w:rsidR="00F6764A" w:rsidRPr="00885988" w:rsidRDefault="00F6764A" w:rsidP="00F6764A">
            <w:pPr>
              <w:spacing w:before="0" w:after="0" w:line="240" w:lineRule="auto"/>
              <w:jc w:val="left"/>
              <w:rPr>
                <w:rFonts w:cs="Arial"/>
                <w:sz w:val="16"/>
                <w:szCs w:val="16"/>
              </w:rPr>
            </w:pPr>
            <w:r w:rsidRPr="00885988">
              <w:rPr>
                <w:rFonts w:cs="Arial"/>
                <w:sz w:val="16"/>
                <w:szCs w:val="16"/>
              </w:rPr>
              <w:t>Ekonomická vnútorná miera návratnosti (EIRR)</w:t>
            </w:r>
          </w:p>
        </w:tc>
        <w:tc>
          <w:tcPr>
            <w:tcW w:w="4536" w:type="dxa"/>
            <w:vAlign w:val="bottom"/>
          </w:tcPr>
          <w:p w14:paraId="57818B3A" w14:textId="5E16FBE8"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5433,41 %</w:t>
            </w:r>
          </w:p>
        </w:tc>
      </w:tr>
      <w:tr w:rsidR="00F6764A" w:rsidRPr="00885988" w14:paraId="24AFFF0F" w14:textId="77777777" w:rsidTr="00366F12">
        <w:trPr>
          <w:trHeight w:val="240"/>
        </w:trPr>
        <w:tc>
          <w:tcPr>
            <w:tcW w:w="4673" w:type="dxa"/>
            <w:shd w:val="clear" w:color="auto" w:fill="DEEAF6" w:themeFill="accent1" w:themeFillTint="33"/>
            <w:noWrap/>
            <w:vAlign w:val="bottom"/>
            <w:hideMark/>
          </w:tcPr>
          <w:p w14:paraId="13FC0C47" w14:textId="77777777" w:rsidR="00F6764A" w:rsidRPr="00885988" w:rsidRDefault="00F6764A" w:rsidP="00F6764A">
            <w:pPr>
              <w:spacing w:before="0" w:after="0" w:line="240" w:lineRule="auto"/>
              <w:jc w:val="left"/>
              <w:rPr>
                <w:rFonts w:cs="Arial"/>
                <w:sz w:val="16"/>
                <w:szCs w:val="16"/>
              </w:rPr>
            </w:pPr>
            <w:r>
              <w:rPr>
                <w:rFonts w:cs="Arial"/>
                <w:sz w:val="16"/>
                <w:szCs w:val="16"/>
              </w:rPr>
              <w:t>Nákladová efektívnosť, ekonomická (</w:t>
            </w:r>
            <w:r w:rsidRPr="00885988">
              <w:rPr>
                <w:rFonts w:cs="Arial"/>
                <w:sz w:val="16"/>
                <w:szCs w:val="16"/>
              </w:rPr>
              <w:t>B/C</w:t>
            </w:r>
            <w:r>
              <w:rPr>
                <w:rFonts w:cs="Arial"/>
                <w:sz w:val="16"/>
                <w:szCs w:val="16"/>
              </w:rPr>
              <w:t>)</w:t>
            </w:r>
          </w:p>
        </w:tc>
        <w:tc>
          <w:tcPr>
            <w:tcW w:w="4536" w:type="dxa"/>
            <w:vAlign w:val="bottom"/>
          </w:tcPr>
          <w:p w14:paraId="32CB3632" w14:textId="32CACA93" w:rsidR="00F6764A" w:rsidRDefault="00F6764A" w:rsidP="00F6764A">
            <w:pPr>
              <w:spacing w:before="0" w:after="0" w:line="240" w:lineRule="auto"/>
              <w:jc w:val="right"/>
              <w:rPr>
                <w:rFonts w:ascii="Calibri" w:hAnsi="Calibri" w:cs="Calibri"/>
                <w:sz w:val="18"/>
                <w:szCs w:val="18"/>
              </w:rPr>
            </w:pPr>
            <w:r>
              <w:rPr>
                <w:rFonts w:ascii="Calibri" w:hAnsi="Calibri" w:cs="Calibri"/>
                <w:sz w:val="18"/>
                <w:szCs w:val="18"/>
              </w:rPr>
              <w:t xml:space="preserve">3,96 </w:t>
            </w:r>
          </w:p>
        </w:tc>
      </w:tr>
    </w:tbl>
    <w:p w14:paraId="0ED89AF3" w14:textId="7566E887" w:rsidR="005A7D49" w:rsidRDefault="005A7D49" w:rsidP="005A7D49">
      <w:pPr>
        <w:rPr>
          <w:i/>
          <w:sz w:val="16"/>
        </w:rPr>
      </w:pPr>
      <w:r w:rsidRPr="00DA4343">
        <w:rPr>
          <w:i/>
          <w:sz w:val="16"/>
        </w:rPr>
        <w:t xml:space="preserve">Zdroj: Príloha </w:t>
      </w:r>
      <w:r w:rsidR="00AD1DBF">
        <w:rPr>
          <w:i/>
          <w:sz w:val="16"/>
        </w:rPr>
        <w:t>2</w:t>
      </w:r>
      <w:r w:rsidRPr="00DA4343">
        <w:rPr>
          <w:i/>
          <w:sz w:val="16"/>
        </w:rPr>
        <w:t xml:space="preserve">, hárok </w:t>
      </w:r>
      <w:r>
        <w:rPr>
          <w:i/>
          <w:sz w:val="16"/>
        </w:rPr>
        <w:t>11</w:t>
      </w:r>
    </w:p>
    <w:p w14:paraId="027A6627" w14:textId="77777777" w:rsidR="004C1394" w:rsidRDefault="004C1394" w:rsidP="005A7D49"/>
    <w:p w14:paraId="26BD0E1B" w14:textId="0E62E1BA" w:rsidR="005A7D49" w:rsidRDefault="005A7D49" w:rsidP="005A7D49">
      <w:r>
        <w:t>Ekonomická nákladová efektívnosť projektu implementácie EETS v navrhovanom variante 2 je pri uvažovaní modelových parametrov, najmä predpokladanom medziročnom raste podielu poskytovateľov EETS na výbere mýta, rovná 3,</w:t>
      </w:r>
      <w:r w:rsidR="00F6764A">
        <w:t>96</w:t>
      </w:r>
      <w:r>
        <w:t xml:space="preserve">. To znamená, že zavedením projektu dôjde k zvýšeniu nákladovej </w:t>
      </w:r>
      <w:r>
        <w:lastRenderedPageBreak/>
        <w:t>efektívnosti Komplexnej služby elektronického výberu mýta o </w:t>
      </w:r>
      <w:r w:rsidR="00AD1DBF">
        <w:t>1</w:t>
      </w:r>
      <w:r>
        <w:t>,</w:t>
      </w:r>
      <w:r w:rsidR="00F6764A">
        <w:t xml:space="preserve">21 </w:t>
      </w:r>
      <w:r>
        <w:t>bodov oproti priemernej hodnote 2,75 za uplynulých 5 rokov prevádzky.</w:t>
      </w:r>
    </w:p>
    <w:p w14:paraId="3DD2F3A1" w14:textId="70C2BB3E" w:rsidR="005A7D49" w:rsidRDefault="005A7D49" w:rsidP="005A7D49">
      <w:r>
        <w:t xml:space="preserve">Výsledky ekonomickej analýzy potvrdzujú, že projekt implementácie EETS je </w:t>
      </w:r>
      <w:r w:rsidR="00AD1DBF">
        <w:t>možné</w:t>
      </w:r>
      <w:r>
        <w:t xml:space="preserve"> realizovať v navrhovanom variante 2. </w:t>
      </w:r>
    </w:p>
    <w:p w14:paraId="6ABE45E3" w14:textId="77777777" w:rsidR="005A7D49" w:rsidRDefault="005A7D49">
      <w:pPr>
        <w:spacing w:before="0" w:after="0" w:line="240" w:lineRule="auto"/>
        <w:jc w:val="left"/>
      </w:pPr>
    </w:p>
    <w:p w14:paraId="5DAE7F16" w14:textId="503DB479" w:rsidR="004C1394" w:rsidRDefault="004C1394">
      <w:pPr>
        <w:spacing w:before="0" w:after="0" w:line="240" w:lineRule="auto"/>
        <w:jc w:val="left"/>
      </w:pPr>
      <w:r>
        <w:br w:type="page"/>
      </w:r>
    </w:p>
    <w:p w14:paraId="13813A54" w14:textId="77777777" w:rsidR="00085D54" w:rsidRDefault="00085D54" w:rsidP="00085D54">
      <w:pPr>
        <w:pStyle w:val="Heading1"/>
        <w:ind w:left="431" w:hanging="431"/>
      </w:pPr>
      <w:bookmarkStart w:id="190" w:name="_Toc33006430"/>
      <w:bookmarkStart w:id="191" w:name="_Toc87348771"/>
      <w:r>
        <w:lastRenderedPageBreak/>
        <w:t>Analýza citlivosti</w:t>
      </w:r>
      <w:bookmarkEnd w:id="190"/>
      <w:bookmarkEnd w:id="191"/>
    </w:p>
    <w:p w14:paraId="3BBCD30B" w14:textId="72004ABE" w:rsidR="00085D54" w:rsidRDefault="00085D54" w:rsidP="00085D54">
      <w:r>
        <w:t>Analýza citlivosti projektu na zmeny kľúčových vstupných parametrov bola vykonaná nad ekonomickým modelom, pričom skúmanie sa týkalo nižšie uvedených ukazovateľov:</w:t>
      </w:r>
    </w:p>
    <w:p w14:paraId="5F8EAFDE" w14:textId="2278EC2F" w:rsidR="00085D54" w:rsidRDefault="00085D54" w:rsidP="00480B97">
      <w:pPr>
        <w:pStyle w:val="ListParagraph"/>
        <w:numPr>
          <w:ilvl w:val="0"/>
          <w:numId w:val="32"/>
        </w:numPr>
      </w:pPr>
      <w:r>
        <w:t>celkové náklady životného cyklu projektu (TCO) za vybudovanie a 5 rokov prevádzky,</w:t>
      </w:r>
    </w:p>
    <w:p w14:paraId="5FA752A0" w14:textId="1BF438DB" w:rsidR="00085D54" w:rsidRDefault="00085D54" w:rsidP="00480B97">
      <w:pPr>
        <w:pStyle w:val="ListParagraph"/>
        <w:numPr>
          <w:ilvl w:val="0"/>
          <w:numId w:val="32"/>
        </w:numPr>
      </w:pPr>
      <w:r>
        <w:t>ekonomická čistá súčasná hodnota (ENPV),</w:t>
      </w:r>
    </w:p>
    <w:p w14:paraId="0335DC70" w14:textId="41259672" w:rsidR="00085D54" w:rsidRDefault="00085D54" w:rsidP="00480B97">
      <w:pPr>
        <w:pStyle w:val="ListParagraph"/>
        <w:numPr>
          <w:ilvl w:val="0"/>
          <w:numId w:val="32"/>
        </w:numPr>
      </w:pPr>
      <w:r>
        <w:t>nákladová efektívnosť (pomer celkových prínosov projektu ku celkovým nákladom B/C).</w:t>
      </w:r>
    </w:p>
    <w:p w14:paraId="3119A11D" w14:textId="3D6AE6DD" w:rsidR="00085D54" w:rsidRDefault="00085D54" w:rsidP="00085D54">
      <w:r>
        <w:t xml:space="preserve">Odozva (zmena) jednotlivých ukazovateľov </w:t>
      </w:r>
      <w:r>
        <w:sym w:font="Symbol" w:char="F044"/>
      </w:r>
      <w:r>
        <w:t xml:space="preserve"> bola skúmaná pri skokovej zmene vybraného parametra o + 1 % a naopak pri zmene základnej hodnoty parametra</w:t>
      </w:r>
      <w:r w:rsidR="00107B6D" w:rsidRPr="00107B6D">
        <w:t xml:space="preserve"> </w:t>
      </w:r>
      <w:r w:rsidR="00107B6D">
        <w:t>o – 1 %</w:t>
      </w:r>
      <w:r>
        <w:t>.</w:t>
      </w:r>
    </w:p>
    <w:p w14:paraId="1472C173" w14:textId="77777777" w:rsidR="00AE1563" w:rsidRDefault="00085D54" w:rsidP="00085D54">
      <w:r>
        <w:t>Vybrané vstupné parametre boli zvolené s ohľadom na povahu predmetu projektu a modelovú skladbu nákladov a výnosov projektu</w:t>
      </w:r>
      <w:r w:rsidR="00AE1563">
        <w:t xml:space="preserve"> podľa variantov 1 a 2</w:t>
      </w:r>
      <w:r>
        <w:t>.</w:t>
      </w:r>
    </w:p>
    <w:p w14:paraId="3F4698F9" w14:textId="40FD5BC5" w:rsidR="00085D54" w:rsidRDefault="00AE1563" w:rsidP="00085D54">
      <w:r>
        <w:t>Analýza citlivosti bola vykonaná pre oba navrhované varianty 1 a 2.</w:t>
      </w:r>
      <w:r w:rsidR="00085D54">
        <w:t xml:space="preserve">  </w:t>
      </w:r>
    </w:p>
    <w:p w14:paraId="52B65D79" w14:textId="77777777" w:rsidR="00576136" w:rsidRDefault="00576136" w:rsidP="00085D54"/>
    <w:p w14:paraId="5A271638" w14:textId="06A9E125" w:rsidR="0095790F" w:rsidRDefault="0095790F" w:rsidP="00A40297">
      <w:pPr>
        <w:pStyle w:val="Heading2"/>
      </w:pPr>
      <w:bookmarkStart w:id="192" w:name="_Toc87348772"/>
      <w:r>
        <w:t>Variant 1</w:t>
      </w:r>
      <w:bookmarkEnd w:id="192"/>
    </w:p>
    <w:p w14:paraId="7EE523E9" w14:textId="6DD3C5DD" w:rsidR="001845FE" w:rsidRDefault="00AE1563">
      <w:pPr>
        <w:spacing w:before="0" w:after="0" w:line="240" w:lineRule="auto"/>
        <w:jc w:val="left"/>
      </w:pPr>
      <w:r>
        <w:t>Výsledky analýzy citlivosti pre jednotlivé ukazovatele vo variantu 1 sú uvedené v tabuľkách a grafoch nižšie.</w:t>
      </w:r>
    </w:p>
    <w:p w14:paraId="7AEB49E7" w14:textId="282DCE03" w:rsidR="00383CB8" w:rsidRDefault="00383CB8" w:rsidP="00383CB8">
      <w:pPr>
        <w:pStyle w:val="Caption"/>
      </w:pPr>
      <w:r>
        <w:t xml:space="preserve">Tab. </w:t>
      </w:r>
      <w:r>
        <w:fldChar w:fldCharType="begin"/>
      </w:r>
      <w:r>
        <w:instrText xml:space="preserve"> SEQ Tab. \* ARABIC </w:instrText>
      </w:r>
      <w:r>
        <w:fldChar w:fldCharType="separate"/>
      </w:r>
      <w:r w:rsidR="00A86720">
        <w:rPr>
          <w:noProof/>
        </w:rPr>
        <w:t>63</w:t>
      </w:r>
      <w:r>
        <w:fldChar w:fldCharType="end"/>
      </w:r>
      <w:r>
        <w:t xml:space="preserve"> – Analýza citlivosti finančných a ekonomických ukazovateľov, zmena vstupných parametrov o + 1 %</w:t>
      </w:r>
      <w:r w:rsidR="0049385D">
        <w:t xml:space="preserve">, </w:t>
      </w:r>
      <w:r w:rsidR="0049385D">
        <w:br/>
        <w:t>Variant 1</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539"/>
        <w:gridCol w:w="1134"/>
        <w:gridCol w:w="851"/>
        <w:gridCol w:w="1133"/>
        <w:gridCol w:w="993"/>
        <w:gridCol w:w="850"/>
        <w:gridCol w:w="851"/>
      </w:tblGrid>
      <w:tr w:rsidR="00AE1563" w:rsidRPr="00A40297" w14:paraId="62E78566" w14:textId="77777777" w:rsidTr="00A40297">
        <w:trPr>
          <w:trHeight w:val="510"/>
        </w:trPr>
        <w:tc>
          <w:tcPr>
            <w:tcW w:w="3539" w:type="dxa"/>
            <w:shd w:val="clear" w:color="000000" w:fill="B8CCE4"/>
            <w:noWrap/>
            <w:vAlign w:val="center"/>
            <w:hideMark/>
          </w:tcPr>
          <w:p w14:paraId="5FDA3958" w14:textId="77777777" w:rsidR="00AE1563" w:rsidRPr="00A40297" w:rsidRDefault="00AE1563" w:rsidP="00AE1563">
            <w:pPr>
              <w:spacing w:before="0" w:after="0" w:line="240" w:lineRule="auto"/>
              <w:jc w:val="left"/>
              <w:rPr>
                <w:rFonts w:ascii="Calibri" w:hAnsi="Calibri" w:cs="Calibri"/>
                <w:b/>
                <w:bCs/>
                <w:sz w:val="18"/>
                <w:szCs w:val="18"/>
              </w:rPr>
            </w:pPr>
            <w:r w:rsidRPr="00A40297">
              <w:rPr>
                <w:rFonts w:ascii="Calibri" w:hAnsi="Calibri" w:cs="Calibri"/>
                <w:b/>
                <w:bCs/>
                <w:sz w:val="18"/>
                <w:szCs w:val="18"/>
              </w:rPr>
              <w:t>Zmena vstupného parametra o +1 %</w:t>
            </w:r>
          </w:p>
        </w:tc>
        <w:tc>
          <w:tcPr>
            <w:tcW w:w="1985" w:type="dxa"/>
            <w:gridSpan w:val="2"/>
            <w:shd w:val="clear" w:color="000000" w:fill="B8CCE4"/>
            <w:vAlign w:val="center"/>
            <w:hideMark/>
          </w:tcPr>
          <w:p w14:paraId="3981F8EB" w14:textId="787A9CF7" w:rsidR="00AE1563" w:rsidRPr="00A40297" w:rsidRDefault="00AE1563" w:rsidP="00A40297">
            <w:pPr>
              <w:spacing w:before="0" w:after="0" w:line="240" w:lineRule="auto"/>
              <w:jc w:val="center"/>
              <w:rPr>
                <w:rFonts w:ascii="Calibri" w:hAnsi="Calibri" w:cs="Calibri"/>
                <w:sz w:val="18"/>
                <w:szCs w:val="18"/>
              </w:rPr>
            </w:pPr>
            <w:r w:rsidRPr="00A40297">
              <w:rPr>
                <w:rFonts w:ascii="Calibri" w:hAnsi="Calibri" w:cs="Calibri"/>
                <w:sz w:val="18"/>
                <w:szCs w:val="18"/>
              </w:rPr>
              <w:t>Celkové náklady projektu</w:t>
            </w:r>
          </w:p>
        </w:tc>
        <w:tc>
          <w:tcPr>
            <w:tcW w:w="2126" w:type="dxa"/>
            <w:gridSpan w:val="2"/>
            <w:shd w:val="clear" w:color="000000" w:fill="B8CCE4"/>
            <w:vAlign w:val="center"/>
            <w:hideMark/>
          </w:tcPr>
          <w:p w14:paraId="41ECC603" w14:textId="3F77F25D" w:rsidR="00AE1563" w:rsidRPr="00A40297" w:rsidRDefault="00AE1563" w:rsidP="00A40297">
            <w:pPr>
              <w:spacing w:before="0" w:after="0" w:line="240" w:lineRule="auto"/>
              <w:jc w:val="center"/>
              <w:rPr>
                <w:rFonts w:ascii="Calibri" w:hAnsi="Calibri" w:cs="Calibri"/>
                <w:sz w:val="18"/>
                <w:szCs w:val="18"/>
              </w:rPr>
            </w:pPr>
            <w:r w:rsidRPr="00A40297">
              <w:rPr>
                <w:rFonts w:ascii="Calibri" w:hAnsi="Calibri" w:cs="Calibri"/>
                <w:sz w:val="18"/>
                <w:szCs w:val="18"/>
              </w:rPr>
              <w:t>Ekonomická čistá súčasná hodnota</w:t>
            </w:r>
          </w:p>
        </w:tc>
        <w:tc>
          <w:tcPr>
            <w:tcW w:w="1701" w:type="dxa"/>
            <w:gridSpan w:val="2"/>
            <w:shd w:val="clear" w:color="000000" w:fill="B8CCE4"/>
            <w:vAlign w:val="center"/>
            <w:hideMark/>
          </w:tcPr>
          <w:p w14:paraId="340946A2" w14:textId="15988896" w:rsidR="00AE1563" w:rsidRPr="00A40297" w:rsidRDefault="00AE1563" w:rsidP="00A40297">
            <w:pPr>
              <w:spacing w:before="0" w:after="0" w:line="240" w:lineRule="auto"/>
              <w:jc w:val="center"/>
              <w:rPr>
                <w:rFonts w:ascii="Calibri" w:hAnsi="Calibri" w:cs="Calibri"/>
                <w:sz w:val="18"/>
                <w:szCs w:val="18"/>
              </w:rPr>
            </w:pPr>
            <w:r w:rsidRPr="00A40297">
              <w:rPr>
                <w:rFonts w:ascii="Calibri" w:hAnsi="Calibri" w:cs="Calibri"/>
                <w:sz w:val="18"/>
                <w:szCs w:val="18"/>
              </w:rPr>
              <w:t>Nákladová efektívnosť (ekonomická)</w:t>
            </w:r>
          </w:p>
        </w:tc>
      </w:tr>
      <w:tr w:rsidR="00AE1563" w:rsidRPr="00A40297" w14:paraId="42E6DB03" w14:textId="77777777" w:rsidTr="00A40297">
        <w:trPr>
          <w:trHeight w:val="240"/>
        </w:trPr>
        <w:tc>
          <w:tcPr>
            <w:tcW w:w="3539" w:type="dxa"/>
            <w:shd w:val="clear" w:color="000000" w:fill="B8CCE4"/>
            <w:noWrap/>
            <w:vAlign w:val="bottom"/>
            <w:hideMark/>
          </w:tcPr>
          <w:p w14:paraId="66F57E02" w14:textId="77777777" w:rsidR="00AE1563" w:rsidRPr="00A40297" w:rsidRDefault="00AE1563" w:rsidP="00AE1563">
            <w:pPr>
              <w:spacing w:before="0" w:after="0" w:line="240" w:lineRule="auto"/>
              <w:jc w:val="left"/>
              <w:rPr>
                <w:rFonts w:ascii="Calibri" w:hAnsi="Calibri" w:cs="Calibri"/>
                <w:i/>
                <w:iCs/>
                <w:sz w:val="18"/>
                <w:szCs w:val="18"/>
              </w:rPr>
            </w:pPr>
            <w:r w:rsidRPr="00A40297">
              <w:rPr>
                <w:rFonts w:ascii="Calibri" w:hAnsi="Calibri" w:cs="Calibri"/>
                <w:i/>
                <w:iCs/>
                <w:sz w:val="18"/>
                <w:szCs w:val="18"/>
              </w:rPr>
              <w:t>Východisková hodnota</w:t>
            </w:r>
          </w:p>
        </w:tc>
        <w:tc>
          <w:tcPr>
            <w:tcW w:w="1134" w:type="dxa"/>
            <w:shd w:val="clear" w:color="000000" w:fill="B8CCE4"/>
            <w:noWrap/>
            <w:vAlign w:val="center"/>
            <w:hideMark/>
          </w:tcPr>
          <w:p w14:paraId="72EFF867" w14:textId="7FF0591A" w:rsidR="00AE1563" w:rsidRPr="00A40297" w:rsidRDefault="00F6764A" w:rsidP="00C81C52">
            <w:pPr>
              <w:spacing w:before="0" w:after="0" w:line="240" w:lineRule="auto"/>
              <w:jc w:val="right"/>
              <w:rPr>
                <w:rFonts w:ascii="Calibri" w:hAnsi="Calibri" w:cs="Calibri"/>
                <w:sz w:val="18"/>
                <w:szCs w:val="18"/>
              </w:rPr>
            </w:pPr>
            <w:r w:rsidRPr="00A40297">
              <w:rPr>
                <w:rFonts w:ascii="Calibri" w:hAnsi="Calibri" w:cs="Calibri"/>
                <w:sz w:val="18"/>
                <w:szCs w:val="18"/>
              </w:rPr>
              <w:t>362 031 049</w:t>
            </w:r>
          </w:p>
        </w:tc>
        <w:tc>
          <w:tcPr>
            <w:tcW w:w="851" w:type="dxa"/>
            <w:shd w:val="clear" w:color="000000" w:fill="B8CCE4"/>
            <w:noWrap/>
            <w:vAlign w:val="center"/>
            <w:hideMark/>
          </w:tcPr>
          <w:p w14:paraId="7B1973E9" w14:textId="524DFC29" w:rsidR="00AE1563" w:rsidRPr="00A40297" w:rsidRDefault="00AE1563"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5A7D49">
              <w:rPr>
                <w:rFonts w:asciiTheme="minorHAnsi" w:hAnsiTheme="minorHAnsi" w:cstheme="minorHAnsi"/>
                <w:sz w:val="18"/>
                <w:szCs w:val="18"/>
              </w:rPr>
              <w:t xml:space="preserve"> TCO</w:t>
            </w:r>
          </w:p>
        </w:tc>
        <w:tc>
          <w:tcPr>
            <w:tcW w:w="1133" w:type="dxa"/>
            <w:shd w:val="clear" w:color="000000" w:fill="B8CCE4"/>
            <w:noWrap/>
            <w:vAlign w:val="center"/>
            <w:hideMark/>
          </w:tcPr>
          <w:p w14:paraId="1A80B273" w14:textId="3EAEE442" w:rsidR="00AE1563" w:rsidRPr="00A40297" w:rsidRDefault="00F6764A" w:rsidP="006D3285">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793 244 988</w:t>
            </w:r>
          </w:p>
        </w:tc>
        <w:tc>
          <w:tcPr>
            <w:tcW w:w="993" w:type="dxa"/>
            <w:shd w:val="clear" w:color="000000" w:fill="B8CCE4"/>
            <w:noWrap/>
            <w:vAlign w:val="center"/>
            <w:hideMark/>
          </w:tcPr>
          <w:p w14:paraId="564AA28B" w14:textId="574E1229" w:rsidR="00AE1563" w:rsidRPr="00A40297" w:rsidRDefault="00AE1563"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ENPV</w:t>
            </w:r>
          </w:p>
        </w:tc>
        <w:tc>
          <w:tcPr>
            <w:tcW w:w="850" w:type="dxa"/>
            <w:shd w:val="clear" w:color="000000" w:fill="B8CCE4"/>
            <w:noWrap/>
            <w:vAlign w:val="center"/>
            <w:hideMark/>
          </w:tcPr>
          <w:p w14:paraId="084A9441" w14:textId="56777D0F" w:rsidR="00AE1563" w:rsidRPr="00A40297" w:rsidRDefault="00AE1563" w:rsidP="00F6764A">
            <w:pPr>
              <w:spacing w:before="0" w:after="0" w:line="240" w:lineRule="auto"/>
              <w:jc w:val="right"/>
              <w:rPr>
                <w:rFonts w:ascii="Calibri" w:hAnsi="Calibri" w:cs="Calibri"/>
                <w:sz w:val="18"/>
                <w:szCs w:val="18"/>
              </w:rPr>
            </w:pPr>
            <w:r w:rsidRPr="00A40297">
              <w:rPr>
                <w:rFonts w:ascii="Calibri" w:hAnsi="Calibri" w:cs="Calibri"/>
                <w:sz w:val="18"/>
                <w:szCs w:val="18"/>
              </w:rPr>
              <w:t>3,</w:t>
            </w:r>
            <w:r w:rsidR="00F6764A">
              <w:rPr>
                <w:rFonts w:ascii="Calibri" w:hAnsi="Calibri" w:cs="Calibri"/>
                <w:sz w:val="18"/>
                <w:szCs w:val="18"/>
              </w:rPr>
              <w:t>910</w:t>
            </w:r>
          </w:p>
        </w:tc>
        <w:tc>
          <w:tcPr>
            <w:tcW w:w="851" w:type="dxa"/>
            <w:shd w:val="clear" w:color="000000" w:fill="B8CCE4"/>
            <w:noWrap/>
            <w:vAlign w:val="center"/>
            <w:hideMark/>
          </w:tcPr>
          <w:p w14:paraId="3026285A" w14:textId="62A413B9" w:rsidR="00AE1563" w:rsidRPr="00A40297" w:rsidRDefault="00AE1563"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B/C</w:t>
            </w:r>
          </w:p>
        </w:tc>
      </w:tr>
      <w:tr w:rsidR="00F6764A" w:rsidRPr="00A40297" w14:paraId="48932029" w14:textId="77777777" w:rsidTr="00A40297">
        <w:trPr>
          <w:trHeight w:val="240"/>
        </w:trPr>
        <w:tc>
          <w:tcPr>
            <w:tcW w:w="3539" w:type="dxa"/>
            <w:shd w:val="clear" w:color="000000" w:fill="DCE6F1"/>
            <w:noWrap/>
            <w:vAlign w:val="bottom"/>
            <w:hideMark/>
          </w:tcPr>
          <w:p w14:paraId="2D6CE585"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váženej priemernej sadzby mýta</w:t>
            </w:r>
          </w:p>
        </w:tc>
        <w:tc>
          <w:tcPr>
            <w:tcW w:w="1134" w:type="dxa"/>
            <w:shd w:val="clear" w:color="auto" w:fill="auto"/>
            <w:noWrap/>
            <w:vAlign w:val="center"/>
            <w:hideMark/>
          </w:tcPr>
          <w:p w14:paraId="45ADFA94" w14:textId="4105946C"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362 031 049</w:t>
            </w:r>
          </w:p>
        </w:tc>
        <w:tc>
          <w:tcPr>
            <w:tcW w:w="851" w:type="dxa"/>
            <w:shd w:val="clear" w:color="auto" w:fill="auto"/>
            <w:noWrap/>
            <w:vAlign w:val="center"/>
            <w:hideMark/>
          </w:tcPr>
          <w:p w14:paraId="3E72E2BF" w14:textId="6234681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58719134" w14:textId="0F8B0A6A"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803 905 565</w:t>
            </w:r>
          </w:p>
        </w:tc>
        <w:tc>
          <w:tcPr>
            <w:tcW w:w="993" w:type="dxa"/>
            <w:shd w:val="clear" w:color="auto" w:fill="auto"/>
            <w:noWrap/>
            <w:vAlign w:val="center"/>
            <w:hideMark/>
          </w:tcPr>
          <w:p w14:paraId="17DC4D3D" w14:textId="566A2AD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1,35</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798BCC5D" w14:textId="63A03952"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3,948</w:t>
            </w:r>
          </w:p>
        </w:tc>
        <w:tc>
          <w:tcPr>
            <w:tcW w:w="851" w:type="dxa"/>
            <w:shd w:val="clear" w:color="auto" w:fill="auto"/>
            <w:noWrap/>
            <w:vAlign w:val="center"/>
            <w:hideMark/>
          </w:tcPr>
          <w:p w14:paraId="032BF643" w14:textId="7957428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1,00</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4B9F1A8F" w14:textId="77777777" w:rsidTr="00A40297">
        <w:trPr>
          <w:trHeight w:val="240"/>
        </w:trPr>
        <w:tc>
          <w:tcPr>
            <w:tcW w:w="3539" w:type="dxa"/>
            <w:shd w:val="clear" w:color="000000" w:fill="DCE6F1"/>
            <w:noWrap/>
            <w:vAlign w:val="bottom"/>
            <w:hideMark/>
          </w:tcPr>
          <w:p w14:paraId="4F45AB19"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dopravných výkonov</w:t>
            </w:r>
          </w:p>
        </w:tc>
        <w:tc>
          <w:tcPr>
            <w:tcW w:w="1134" w:type="dxa"/>
            <w:shd w:val="clear" w:color="auto" w:fill="auto"/>
            <w:noWrap/>
            <w:vAlign w:val="center"/>
            <w:hideMark/>
          </w:tcPr>
          <w:p w14:paraId="3EC1C5A2" w14:textId="23A13ABF"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362 993 256</w:t>
            </w:r>
          </w:p>
        </w:tc>
        <w:tc>
          <w:tcPr>
            <w:tcW w:w="851" w:type="dxa"/>
            <w:shd w:val="clear" w:color="auto" w:fill="auto"/>
            <w:noWrap/>
            <w:vAlign w:val="center"/>
            <w:hideMark/>
          </w:tcPr>
          <w:p w14:paraId="2AC7B2BE" w14:textId="6D784B6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0,27</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4A20E329" w14:textId="3AF08621"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803 171 179</w:t>
            </w:r>
          </w:p>
        </w:tc>
        <w:tc>
          <w:tcPr>
            <w:tcW w:w="993" w:type="dxa"/>
            <w:shd w:val="clear" w:color="auto" w:fill="auto"/>
            <w:noWrap/>
            <w:vAlign w:val="center"/>
            <w:hideMark/>
          </w:tcPr>
          <w:p w14:paraId="6AB78850" w14:textId="1057FE25"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1,26</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1DF55EE6" w14:textId="1ABD80CC"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3,938</w:t>
            </w:r>
          </w:p>
        </w:tc>
        <w:tc>
          <w:tcPr>
            <w:tcW w:w="851" w:type="dxa"/>
            <w:shd w:val="clear" w:color="auto" w:fill="auto"/>
            <w:noWrap/>
            <w:vAlign w:val="center"/>
            <w:hideMark/>
          </w:tcPr>
          <w:p w14:paraId="69465E5E" w14:textId="4804313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0,73</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4DBCD234" w14:textId="77777777" w:rsidTr="00A40297">
        <w:trPr>
          <w:trHeight w:val="240"/>
        </w:trPr>
        <w:tc>
          <w:tcPr>
            <w:tcW w:w="3539" w:type="dxa"/>
            <w:shd w:val="clear" w:color="000000" w:fill="DCE6F1"/>
            <w:noWrap/>
            <w:vAlign w:val="bottom"/>
            <w:hideMark/>
          </w:tcPr>
          <w:p w14:paraId="31CAB4B2"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Ročný počet mýtnych transakcií</w:t>
            </w:r>
          </w:p>
        </w:tc>
        <w:tc>
          <w:tcPr>
            <w:tcW w:w="1134" w:type="dxa"/>
            <w:shd w:val="clear" w:color="auto" w:fill="auto"/>
            <w:noWrap/>
            <w:vAlign w:val="center"/>
            <w:hideMark/>
          </w:tcPr>
          <w:p w14:paraId="4882D4D9" w14:textId="63DFD9FF"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362 993 256</w:t>
            </w:r>
          </w:p>
        </w:tc>
        <w:tc>
          <w:tcPr>
            <w:tcW w:w="851" w:type="dxa"/>
            <w:shd w:val="clear" w:color="auto" w:fill="auto"/>
            <w:noWrap/>
            <w:vAlign w:val="center"/>
            <w:hideMark/>
          </w:tcPr>
          <w:p w14:paraId="5E2C6DE9" w14:textId="0CE421A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0,27</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69815EC1" w14:textId="26EBCB27"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792 457 219</w:t>
            </w:r>
          </w:p>
        </w:tc>
        <w:tc>
          <w:tcPr>
            <w:tcW w:w="993" w:type="dxa"/>
            <w:shd w:val="clear" w:color="auto" w:fill="auto"/>
            <w:noWrap/>
            <w:vAlign w:val="center"/>
            <w:hideMark/>
          </w:tcPr>
          <w:p w14:paraId="231D0D86" w14:textId="5FF35D76"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2C9C8760" w14:textId="1655566E"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3,899</w:t>
            </w:r>
          </w:p>
        </w:tc>
        <w:tc>
          <w:tcPr>
            <w:tcW w:w="851" w:type="dxa"/>
            <w:shd w:val="clear" w:color="auto" w:fill="auto"/>
            <w:noWrap/>
            <w:vAlign w:val="center"/>
            <w:hideMark/>
          </w:tcPr>
          <w:p w14:paraId="0C024279" w14:textId="11A3F8EA"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-0,27</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34D317C1" w14:textId="77777777" w:rsidTr="00A40297">
        <w:trPr>
          <w:trHeight w:val="240"/>
        </w:trPr>
        <w:tc>
          <w:tcPr>
            <w:tcW w:w="3539" w:type="dxa"/>
            <w:shd w:val="clear" w:color="000000" w:fill="DCE6F1"/>
            <w:noWrap/>
            <w:vAlign w:val="bottom"/>
            <w:hideMark/>
          </w:tcPr>
          <w:p w14:paraId="5FD90236"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PK na platobných transakciách</w:t>
            </w:r>
          </w:p>
        </w:tc>
        <w:tc>
          <w:tcPr>
            <w:tcW w:w="1134" w:type="dxa"/>
            <w:shd w:val="clear" w:color="auto" w:fill="auto"/>
            <w:noWrap/>
            <w:vAlign w:val="center"/>
            <w:hideMark/>
          </w:tcPr>
          <w:p w14:paraId="2336ABFC" w14:textId="5A90D6CA"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362 356 823</w:t>
            </w:r>
          </w:p>
        </w:tc>
        <w:tc>
          <w:tcPr>
            <w:tcW w:w="851" w:type="dxa"/>
            <w:shd w:val="clear" w:color="auto" w:fill="auto"/>
            <w:noWrap/>
            <w:vAlign w:val="center"/>
            <w:hideMark/>
          </w:tcPr>
          <w:p w14:paraId="03709846" w14:textId="56CE9A9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118E71FA" w14:textId="4F0E4F64"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792 935 983</w:t>
            </w:r>
          </w:p>
        </w:tc>
        <w:tc>
          <w:tcPr>
            <w:tcW w:w="993" w:type="dxa"/>
            <w:shd w:val="clear" w:color="auto" w:fill="auto"/>
            <w:noWrap/>
            <w:vAlign w:val="center"/>
            <w:hideMark/>
          </w:tcPr>
          <w:p w14:paraId="20B72E4F" w14:textId="3E9A7D91"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2E783FCD" w14:textId="47D000E3"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3,906</w:t>
            </w:r>
          </w:p>
        </w:tc>
        <w:tc>
          <w:tcPr>
            <w:tcW w:w="851" w:type="dxa"/>
            <w:shd w:val="clear" w:color="auto" w:fill="auto"/>
            <w:noWrap/>
            <w:vAlign w:val="center"/>
            <w:hideMark/>
          </w:tcPr>
          <w:p w14:paraId="563470AA" w14:textId="7382684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12979744" w14:textId="77777777" w:rsidTr="00A40297">
        <w:trPr>
          <w:trHeight w:val="240"/>
        </w:trPr>
        <w:tc>
          <w:tcPr>
            <w:tcW w:w="3539" w:type="dxa"/>
            <w:shd w:val="clear" w:color="000000" w:fill="DCE6F1"/>
            <w:noWrap/>
            <w:vAlign w:val="bottom"/>
            <w:hideMark/>
          </w:tcPr>
          <w:p w14:paraId="21431378"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poskytovateľov EETS na výbere mýta</w:t>
            </w:r>
          </w:p>
        </w:tc>
        <w:tc>
          <w:tcPr>
            <w:tcW w:w="1134" w:type="dxa"/>
            <w:shd w:val="clear" w:color="auto" w:fill="auto"/>
            <w:noWrap/>
            <w:vAlign w:val="center"/>
            <w:hideMark/>
          </w:tcPr>
          <w:p w14:paraId="254E9998" w14:textId="6CE83F11"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361 960 561</w:t>
            </w:r>
          </w:p>
        </w:tc>
        <w:tc>
          <w:tcPr>
            <w:tcW w:w="851" w:type="dxa"/>
            <w:shd w:val="clear" w:color="auto" w:fill="auto"/>
            <w:noWrap/>
            <w:vAlign w:val="center"/>
            <w:hideMark/>
          </w:tcPr>
          <w:p w14:paraId="53671C22" w14:textId="04FFFAA6"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35AF1BDE" w14:textId="6B3F633B"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793 243 690</w:t>
            </w:r>
          </w:p>
        </w:tc>
        <w:tc>
          <w:tcPr>
            <w:tcW w:w="993" w:type="dxa"/>
            <w:shd w:val="clear" w:color="auto" w:fill="auto"/>
            <w:noWrap/>
            <w:vAlign w:val="center"/>
            <w:hideMark/>
          </w:tcPr>
          <w:p w14:paraId="19CCF37C" w14:textId="49A3D1B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66A59BBC" w14:textId="2CB0244E"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3,910</w:t>
            </w:r>
          </w:p>
        </w:tc>
        <w:tc>
          <w:tcPr>
            <w:tcW w:w="851" w:type="dxa"/>
            <w:shd w:val="clear" w:color="auto" w:fill="auto"/>
            <w:noWrap/>
            <w:vAlign w:val="center"/>
            <w:hideMark/>
          </w:tcPr>
          <w:p w14:paraId="7A546445" w14:textId="31181ECC"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034F70B1" w14:textId="77777777" w:rsidTr="00A40297">
        <w:trPr>
          <w:trHeight w:val="240"/>
        </w:trPr>
        <w:tc>
          <w:tcPr>
            <w:tcW w:w="3539" w:type="dxa"/>
            <w:shd w:val="clear" w:color="000000" w:fill="DCE6F1"/>
            <w:noWrap/>
            <w:vAlign w:val="bottom"/>
            <w:hideMark/>
          </w:tcPr>
          <w:p w14:paraId="5C92CA44"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Sadzba odmeny za kartové operácie</w:t>
            </w:r>
          </w:p>
        </w:tc>
        <w:tc>
          <w:tcPr>
            <w:tcW w:w="1134" w:type="dxa"/>
            <w:shd w:val="clear" w:color="auto" w:fill="auto"/>
            <w:noWrap/>
            <w:vAlign w:val="center"/>
            <w:hideMark/>
          </w:tcPr>
          <w:p w14:paraId="0666863F" w14:textId="056244F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362 232 322</w:t>
            </w:r>
          </w:p>
        </w:tc>
        <w:tc>
          <w:tcPr>
            <w:tcW w:w="851" w:type="dxa"/>
            <w:shd w:val="clear" w:color="auto" w:fill="auto"/>
            <w:noWrap/>
            <w:vAlign w:val="center"/>
            <w:hideMark/>
          </w:tcPr>
          <w:p w14:paraId="2638D5D0" w14:textId="75D57A4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6D6F4581" w14:textId="19C07040"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793 040 749</w:t>
            </w:r>
          </w:p>
        </w:tc>
        <w:tc>
          <w:tcPr>
            <w:tcW w:w="993" w:type="dxa"/>
            <w:shd w:val="clear" w:color="auto" w:fill="auto"/>
            <w:noWrap/>
            <w:vAlign w:val="center"/>
            <w:hideMark/>
          </w:tcPr>
          <w:p w14:paraId="60CA67DD" w14:textId="29BFDB6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4FFF68D1" w14:textId="4051ABA1"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3,907</w:t>
            </w:r>
          </w:p>
        </w:tc>
        <w:tc>
          <w:tcPr>
            <w:tcW w:w="851" w:type="dxa"/>
            <w:shd w:val="clear" w:color="auto" w:fill="auto"/>
            <w:noWrap/>
            <w:vAlign w:val="center"/>
            <w:hideMark/>
          </w:tcPr>
          <w:p w14:paraId="14650A79" w14:textId="6F0AD0E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4860BB72" w14:textId="77777777" w:rsidTr="00A40297">
        <w:trPr>
          <w:trHeight w:val="240"/>
        </w:trPr>
        <w:tc>
          <w:tcPr>
            <w:tcW w:w="3539" w:type="dxa"/>
            <w:shd w:val="clear" w:color="000000" w:fill="DCE6F1"/>
            <w:noWrap/>
            <w:vAlign w:val="bottom"/>
            <w:hideMark/>
          </w:tcPr>
          <w:p w14:paraId="19A2FAA3"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Zmena ceny realizácie a prevádzky CR-00190</w:t>
            </w:r>
          </w:p>
        </w:tc>
        <w:tc>
          <w:tcPr>
            <w:tcW w:w="1134" w:type="dxa"/>
            <w:shd w:val="clear" w:color="auto" w:fill="auto"/>
            <w:noWrap/>
            <w:vAlign w:val="center"/>
            <w:hideMark/>
          </w:tcPr>
          <w:p w14:paraId="1C760BDF" w14:textId="0CFCAE85"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362 133 975</w:t>
            </w:r>
          </w:p>
        </w:tc>
        <w:tc>
          <w:tcPr>
            <w:tcW w:w="851" w:type="dxa"/>
            <w:shd w:val="clear" w:color="auto" w:fill="auto"/>
            <w:noWrap/>
            <w:vAlign w:val="center"/>
            <w:hideMark/>
          </w:tcPr>
          <w:p w14:paraId="77B22D85" w14:textId="6A0AD0E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09893A69" w14:textId="3BFCB99B"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793 107 157</w:t>
            </w:r>
          </w:p>
        </w:tc>
        <w:tc>
          <w:tcPr>
            <w:tcW w:w="993" w:type="dxa"/>
            <w:shd w:val="clear" w:color="auto" w:fill="auto"/>
            <w:noWrap/>
            <w:vAlign w:val="center"/>
            <w:hideMark/>
          </w:tcPr>
          <w:p w14:paraId="7092819E" w14:textId="3D292EE8"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3F83826F" w14:textId="6FF93C37"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3,908</w:t>
            </w:r>
          </w:p>
        </w:tc>
        <w:tc>
          <w:tcPr>
            <w:tcW w:w="851" w:type="dxa"/>
            <w:shd w:val="clear" w:color="auto" w:fill="auto"/>
            <w:noWrap/>
            <w:vAlign w:val="center"/>
            <w:hideMark/>
          </w:tcPr>
          <w:p w14:paraId="332FB5DD" w14:textId="7D3C076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r>
    </w:tbl>
    <w:p w14:paraId="59CC7112" w14:textId="01E06D06" w:rsidR="00383CB8" w:rsidRDefault="00383CB8" w:rsidP="00383CB8">
      <w:pPr>
        <w:rPr>
          <w:i/>
          <w:sz w:val="16"/>
        </w:rPr>
      </w:pPr>
      <w:r w:rsidRPr="00DA4343">
        <w:rPr>
          <w:i/>
          <w:sz w:val="16"/>
        </w:rPr>
        <w:t xml:space="preserve">Zdroj: Príloha 1, hárok </w:t>
      </w:r>
      <w:r>
        <w:rPr>
          <w:i/>
          <w:sz w:val="16"/>
        </w:rPr>
        <w:t>12</w:t>
      </w:r>
    </w:p>
    <w:p w14:paraId="448BB4C7" w14:textId="28E05FFA" w:rsidR="0071408F" w:rsidRDefault="0071408F" w:rsidP="00383CB8">
      <w:pPr>
        <w:rPr>
          <w:i/>
          <w:sz w:val="16"/>
        </w:rPr>
      </w:pPr>
    </w:p>
    <w:p w14:paraId="42CEBBD5" w14:textId="77777777" w:rsidR="00576136" w:rsidRDefault="00576136" w:rsidP="00383CB8">
      <w:pPr>
        <w:rPr>
          <w:i/>
          <w:sz w:val="16"/>
        </w:rPr>
      </w:pPr>
    </w:p>
    <w:p w14:paraId="722EF362" w14:textId="62307267" w:rsidR="00383CB8" w:rsidRDefault="00383CB8" w:rsidP="00383CB8">
      <w:pPr>
        <w:pStyle w:val="Caption"/>
      </w:pPr>
      <w:r>
        <w:t xml:space="preserve">Tab. </w:t>
      </w:r>
      <w:r>
        <w:fldChar w:fldCharType="begin"/>
      </w:r>
      <w:r>
        <w:instrText xml:space="preserve"> SEQ Tab. \* ARABIC </w:instrText>
      </w:r>
      <w:r>
        <w:fldChar w:fldCharType="separate"/>
      </w:r>
      <w:r w:rsidR="00A86720">
        <w:rPr>
          <w:noProof/>
        </w:rPr>
        <w:t>64</w:t>
      </w:r>
      <w:r>
        <w:fldChar w:fldCharType="end"/>
      </w:r>
      <w:r>
        <w:t xml:space="preserve"> – Analýza citlivosti finančných a ekonomických ukazovateľov, zmena vstupných parametrov o </w:t>
      </w:r>
      <w:r w:rsidR="0071408F">
        <w:t>-</w:t>
      </w:r>
      <w:r>
        <w:t xml:space="preserve"> 1 %</w:t>
      </w:r>
      <w:r w:rsidR="0049385D">
        <w:t xml:space="preserve">, </w:t>
      </w:r>
      <w:r w:rsidR="0049385D">
        <w:br/>
        <w:t>Variant 1</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539"/>
        <w:gridCol w:w="1134"/>
        <w:gridCol w:w="851"/>
        <w:gridCol w:w="1133"/>
        <w:gridCol w:w="993"/>
        <w:gridCol w:w="850"/>
        <w:gridCol w:w="851"/>
      </w:tblGrid>
      <w:tr w:rsidR="0049385D" w:rsidRPr="00A40297" w14:paraId="18112EA2" w14:textId="77777777" w:rsidTr="00A40297">
        <w:trPr>
          <w:trHeight w:val="510"/>
        </w:trPr>
        <w:tc>
          <w:tcPr>
            <w:tcW w:w="3539" w:type="dxa"/>
            <w:shd w:val="clear" w:color="000000" w:fill="B8CCE4"/>
            <w:noWrap/>
            <w:vAlign w:val="center"/>
            <w:hideMark/>
          </w:tcPr>
          <w:p w14:paraId="74746B7B" w14:textId="77777777" w:rsidR="0049385D" w:rsidRPr="00A40297" w:rsidRDefault="0049385D" w:rsidP="00C81C52">
            <w:pPr>
              <w:spacing w:before="0" w:after="0" w:line="240" w:lineRule="auto"/>
              <w:jc w:val="left"/>
              <w:rPr>
                <w:rFonts w:ascii="Calibri" w:hAnsi="Calibri" w:cs="Calibri"/>
                <w:b/>
                <w:bCs/>
                <w:sz w:val="18"/>
                <w:szCs w:val="18"/>
              </w:rPr>
            </w:pPr>
            <w:r w:rsidRPr="00A40297">
              <w:rPr>
                <w:rFonts w:ascii="Calibri" w:hAnsi="Calibri" w:cs="Calibri"/>
                <w:b/>
                <w:bCs/>
                <w:sz w:val="18"/>
                <w:szCs w:val="18"/>
              </w:rPr>
              <w:t>Zmena vstupného parametra o -1 %</w:t>
            </w:r>
          </w:p>
        </w:tc>
        <w:tc>
          <w:tcPr>
            <w:tcW w:w="1985" w:type="dxa"/>
            <w:gridSpan w:val="2"/>
            <w:shd w:val="clear" w:color="000000" w:fill="B8CCE4"/>
            <w:vAlign w:val="center"/>
            <w:hideMark/>
          </w:tcPr>
          <w:p w14:paraId="5643BB6C" w14:textId="5A6B85C7" w:rsidR="0049385D" w:rsidRPr="00A40297" w:rsidRDefault="0049385D" w:rsidP="00A40297">
            <w:pPr>
              <w:spacing w:before="0" w:after="0" w:line="240" w:lineRule="auto"/>
              <w:jc w:val="center"/>
              <w:rPr>
                <w:rFonts w:ascii="Calibri" w:hAnsi="Calibri" w:cs="Calibri"/>
                <w:sz w:val="18"/>
                <w:szCs w:val="18"/>
              </w:rPr>
            </w:pPr>
            <w:r w:rsidRPr="00A40297">
              <w:rPr>
                <w:rFonts w:ascii="Calibri" w:hAnsi="Calibri" w:cs="Calibri"/>
                <w:sz w:val="18"/>
                <w:szCs w:val="18"/>
              </w:rPr>
              <w:t>Celkové náklady projektu</w:t>
            </w:r>
          </w:p>
        </w:tc>
        <w:tc>
          <w:tcPr>
            <w:tcW w:w="2126" w:type="dxa"/>
            <w:gridSpan w:val="2"/>
            <w:shd w:val="clear" w:color="000000" w:fill="B8CCE4"/>
            <w:vAlign w:val="center"/>
            <w:hideMark/>
          </w:tcPr>
          <w:p w14:paraId="064B55C6" w14:textId="05FA5AB4" w:rsidR="0049385D" w:rsidRPr="00A40297" w:rsidRDefault="0049385D" w:rsidP="00A40297">
            <w:pPr>
              <w:spacing w:before="0" w:after="0" w:line="240" w:lineRule="auto"/>
              <w:jc w:val="center"/>
              <w:rPr>
                <w:rFonts w:ascii="Calibri" w:hAnsi="Calibri" w:cs="Calibri"/>
                <w:sz w:val="18"/>
                <w:szCs w:val="18"/>
              </w:rPr>
            </w:pPr>
            <w:r w:rsidRPr="00A40297">
              <w:rPr>
                <w:rFonts w:ascii="Calibri" w:hAnsi="Calibri" w:cs="Calibri"/>
                <w:sz w:val="18"/>
                <w:szCs w:val="18"/>
              </w:rPr>
              <w:t>Ekonomická čistá súčasná hodnota</w:t>
            </w:r>
          </w:p>
        </w:tc>
        <w:tc>
          <w:tcPr>
            <w:tcW w:w="1701" w:type="dxa"/>
            <w:gridSpan w:val="2"/>
            <w:shd w:val="clear" w:color="000000" w:fill="B8CCE4"/>
            <w:vAlign w:val="center"/>
            <w:hideMark/>
          </w:tcPr>
          <w:p w14:paraId="3F8CCFEB" w14:textId="70765054" w:rsidR="0049385D" w:rsidRPr="00A40297" w:rsidRDefault="0049385D" w:rsidP="00A40297">
            <w:pPr>
              <w:spacing w:before="0" w:after="0" w:line="240" w:lineRule="auto"/>
              <w:jc w:val="center"/>
              <w:rPr>
                <w:rFonts w:ascii="Calibri" w:hAnsi="Calibri" w:cs="Calibri"/>
                <w:sz w:val="18"/>
                <w:szCs w:val="18"/>
              </w:rPr>
            </w:pPr>
            <w:r w:rsidRPr="00A40297">
              <w:rPr>
                <w:rFonts w:ascii="Calibri" w:hAnsi="Calibri" w:cs="Calibri"/>
                <w:sz w:val="18"/>
                <w:szCs w:val="18"/>
              </w:rPr>
              <w:t>Nákladová efektívnosť (ekonomická)</w:t>
            </w:r>
          </w:p>
        </w:tc>
      </w:tr>
      <w:tr w:rsidR="0049385D" w:rsidRPr="00A40297" w14:paraId="57476843" w14:textId="77777777" w:rsidTr="00A40297">
        <w:trPr>
          <w:trHeight w:val="240"/>
        </w:trPr>
        <w:tc>
          <w:tcPr>
            <w:tcW w:w="3539" w:type="dxa"/>
            <w:shd w:val="clear" w:color="000000" w:fill="B8CCE4"/>
            <w:noWrap/>
            <w:vAlign w:val="center"/>
            <w:hideMark/>
          </w:tcPr>
          <w:p w14:paraId="6636C288" w14:textId="77777777" w:rsidR="0049385D" w:rsidRPr="00A40297" w:rsidRDefault="0049385D" w:rsidP="00C81C52">
            <w:pPr>
              <w:spacing w:before="0" w:after="0" w:line="240" w:lineRule="auto"/>
              <w:jc w:val="left"/>
              <w:rPr>
                <w:rFonts w:ascii="Calibri" w:hAnsi="Calibri" w:cs="Calibri"/>
                <w:i/>
                <w:iCs/>
                <w:sz w:val="18"/>
                <w:szCs w:val="18"/>
              </w:rPr>
            </w:pPr>
            <w:r w:rsidRPr="00A40297">
              <w:rPr>
                <w:rFonts w:ascii="Calibri" w:hAnsi="Calibri" w:cs="Calibri"/>
                <w:i/>
                <w:iCs/>
                <w:sz w:val="18"/>
                <w:szCs w:val="18"/>
              </w:rPr>
              <w:t>Východisková hodnota</w:t>
            </w:r>
          </w:p>
        </w:tc>
        <w:tc>
          <w:tcPr>
            <w:tcW w:w="1134" w:type="dxa"/>
            <w:shd w:val="clear" w:color="000000" w:fill="B8CCE4"/>
            <w:noWrap/>
            <w:vAlign w:val="center"/>
            <w:hideMark/>
          </w:tcPr>
          <w:p w14:paraId="5DD1D8C3" w14:textId="77777777" w:rsidR="0049385D" w:rsidRPr="00A40297" w:rsidRDefault="0049385D" w:rsidP="00A40297">
            <w:pPr>
              <w:spacing w:before="0" w:after="0" w:line="240" w:lineRule="auto"/>
              <w:jc w:val="right"/>
              <w:rPr>
                <w:rFonts w:ascii="Calibri" w:hAnsi="Calibri" w:cs="Calibri"/>
                <w:sz w:val="18"/>
                <w:szCs w:val="18"/>
              </w:rPr>
            </w:pPr>
            <w:r w:rsidRPr="00A40297">
              <w:rPr>
                <w:rFonts w:ascii="Calibri" w:hAnsi="Calibri" w:cs="Calibri"/>
                <w:sz w:val="18"/>
                <w:szCs w:val="18"/>
              </w:rPr>
              <w:t>362 031 049</w:t>
            </w:r>
          </w:p>
        </w:tc>
        <w:tc>
          <w:tcPr>
            <w:tcW w:w="851" w:type="dxa"/>
            <w:shd w:val="clear" w:color="000000" w:fill="B8CCE4"/>
            <w:noWrap/>
            <w:vAlign w:val="center"/>
            <w:hideMark/>
          </w:tcPr>
          <w:p w14:paraId="56758642" w14:textId="0520794D" w:rsidR="0049385D" w:rsidRPr="00A40297" w:rsidRDefault="0049385D"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5A7D49">
              <w:rPr>
                <w:rFonts w:asciiTheme="minorHAnsi" w:hAnsiTheme="minorHAnsi" w:cstheme="minorHAnsi"/>
                <w:sz w:val="18"/>
                <w:szCs w:val="18"/>
              </w:rPr>
              <w:t xml:space="preserve"> </w:t>
            </w:r>
            <w:r w:rsidRPr="00A40297">
              <w:rPr>
                <w:rFonts w:ascii="Calibri" w:hAnsi="Calibri" w:cs="Calibri"/>
                <w:sz w:val="18"/>
                <w:szCs w:val="18"/>
              </w:rPr>
              <w:t>TCO</w:t>
            </w:r>
          </w:p>
        </w:tc>
        <w:tc>
          <w:tcPr>
            <w:tcW w:w="1133" w:type="dxa"/>
            <w:shd w:val="clear" w:color="000000" w:fill="B8CCE4"/>
            <w:noWrap/>
            <w:vAlign w:val="center"/>
            <w:hideMark/>
          </w:tcPr>
          <w:p w14:paraId="75AC6E83" w14:textId="17576C70" w:rsidR="0049385D" w:rsidRPr="00A40297" w:rsidRDefault="00046F9D" w:rsidP="006D3285">
            <w:pPr>
              <w:spacing w:before="0" w:after="0" w:line="240" w:lineRule="auto"/>
              <w:jc w:val="right"/>
              <w:rPr>
                <w:rFonts w:ascii="Calibri" w:hAnsi="Calibri" w:cs="Calibri"/>
                <w:sz w:val="18"/>
                <w:szCs w:val="18"/>
              </w:rPr>
            </w:pPr>
            <w:r w:rsidRPr="00A40297">
              <w:rPr>
                <w:rFonts w:ascii="Calibri" w:hAnsi="Calibri" w:cs="Calibri"/>
                <w:sz w:val="18"/>
                <w:szCs w:val="18"/>
              </w:rPr>
              <w:t>7</w:t>
            </w:r>
            <w:r>
              <w:rPr>
                <w:rFonts w:ascii="Calibri" w:hAnsi="Calibri" w:cs="Calibri"/>
                <w:sz w:val="18"/>
                <w:szCs w:val="18"/>
              </w:rPr>
              <w:t>90</w:t>
            </w:r>
            <w:r w:rsidRPr="00A40297">
              <w:rPr>
                <w:rFonts w:ascii="Calibri" w:hAnsi="Calibri" w:cs="Calibri"/>
                <w:sz w:val="18"/>
                <w:szCs w:val="18"/>
              </w:rPr>
              <w:t xml:space="preserve"> </w:t>
            </w:r>
            <w:r w:rsidR="00726B8F">
              <w:rPr>
                <w:rFonts w:ascii="Calibri" w:hAnsi="Calibri" w:cs="Calibri"/>
                <w:sz w:val="18"/>
                <w:szCs w:val="18"/>
              </w:rPr>
              <w:t>047</w:t>
            </w:r>
            <w:r w:rsidR="00726B8F" w:rsidRPr="00A40297">
              <w:rPr>
                <w:rFonts w:ascii="Calibri" w:hAnsi="Calibri" w:cs="Calibri"/>
                <w:sz w:val="18"/>
                <w:szCs w:val="18"/>
              </w:rPr>
              <w:t xml:space="preserve"> </w:t>
            </w:r>
            <w:r w:rsidR="00726B8F">
              <w:rPr>
                <w:rFonts w:ascii="Calibri" w:hAnsi="Calibri" w:cs="Calibri"/>
                <w:sz w:val="18"/>
                <w:szCs w:val="18"/>
              </w:rPr>
              <w:t>967</w:t>
            </w:r>
          </w:p>
        </w:tc>
        <w:tc>
          <w:tcPr>
            <w:tcW w:w="993" w:type="dxa"/>
            <w:shd w:val="clear" w:color="000000" w:fill="B8CCE4"/>
            <w:noWrap/>
            <w:vAlign w:val="center"/>
            <w:hideMark/>
          </w:tcPr>
          <w:p w14:paraId="73187DF0" w14:textId="4871998A" w:rsidR="0049385D" w:rsidRPr="00A40297" w:rsidRDefault="0049385D"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5A7D49">
              <w:rPr>
                <w:rFonts w:asciiTheme="minorHAnsi" w:hAnsiTheme="minorHAnsi" w:cstheme="minorHAnsi"/>
                <w:sz w:val="18"/>
                <w:szCs w:val="18"/>
              </w:rPr>
              <w:t xml:space="preserve"> </w:t>
            </w:r>
            <w:r w:rsidRPr="00A40297">
              <w:rPr>
                <w:rFonts w:ascii="Calibri" w:hAnsi="Calibri" w:cs="Calibri"/>
                <w:sz w:val="18"/>
                <w:szCs w:val="18"/>
              </w:rPr>
              <w:t>ENPV</w:t>
            </w:r>
          </w:p>
        </w:tc>
        <w:tc>
          <w:tcPr>
            <w:tcW w:w="850" w:type="dxa"/>
            <w:shd w:val="clear" w:color="000000" w:fill="B8CCE4"/>
            <w:noWrap/>
            <w:vAlign w:val="center"/>
            <w:hideMark/>
          </w:tcPr>
          <w:p w14:paraId="0DA46530" w14:textId="02F48031" w:rsidR="0049385D" w:rsidRPr="00A40297" w:rsidRDefault="0049385D" w:rsidP="00F6764A">
            <w:pPr>
              <w:spacing w:before="0" w:after="0" w:line="240" w:lineRule="auto"/>
              <w:jc w:val="right"/>
              <w:rPr>
                <w:rFonts w:ascii="Calibri" w:hAnsi="Calibri" w:cs="Calibri"/>
                <w:sz w:val="18"/>
                <w:szCs w:val="18"/>
              </w:rPr>
            </w:pPr>
            <w:r w:rsidRPr="00A40297">
              <w:rPr>
                <w:rFonts w:ascii="Calibri" w:hAnsi="Calibri" w:cs="Calibri"/>
                <w:sz w:val="18"/>
                <w:szCs w:val="18"/>
              </w:rPr>
              <w:t>3,</w:t>
            </w:r>
            <w:r w:rsidR="00F6764A">
              <w:rPr>
                <w:rFonts w:ascii="Calibri" w:hAnsi="Calibri" w:cs="Calibri"/>
                <w:sz w:val="18"/>
                <w:szCs w:val="18"/>
              </w:rPr>
              <w:t>910</w:t>
            </w:r>
          </w:p>
        </w:tc>
        <w:tc>
          <w:tcPr>
            <w:tcW w:w="851" w:type="dxa"/>
            <w:shd w:val="clear" w:color="000000" w:fill="B8CCE4"/>
            <w:noWrap/>
            <w:vAlign w:val="center"/>
            <w:hideMark/>
          </w:tcPr>
          <w:p w14:paraId="76CAA5CC" w14:textId="6CD0D584" w:rsidR="0049385D" w:rsidRPr="00A40297" w:rsidRDefault="0049385D"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5A7D49">
              <w:rPr>
                <w:rFonts w:asciiTheme="minorHAnsi" w:hAnsiTheme="minorHAnsi" w:cstheme="minorHAnsi"/>
                <w:sz w:val="18"/>
                <w:szCs w:val="18"/>
              </w:rPr>
              <w:t xml:space="preserve"> </w:t>
            </w:r>
            <w:r w:rsidRPr="00A40297">
              <w:rPr>
                <w:rFonts w:ascii="Calibri" w:hAnsi="Calibri" w:cs="Calibri"/>
                <w:sz w:val="18"/>
                <w:szCs w:val="18"/>
              </w:rPr>
              <w:t>B/C</w:t>
            </w:r>
          </w:p>
        </w:tc>
      </w:tr>
      <w:tr w:rsidR="00F6764A" w:rsidRPr="00A40297" w14:paraId="3ABF2691" w14:textId="77777777" w:rsidTr="00A40297">
        <w:trPr>
          <w:trHeight w:val="240"/>
        </w:trPr>
        <w:tc>
          <w:tcPr>
            <w:tcW w:w="3539" w:type="dxa"/>
            <w:shd w:val="clear" w:color="000000" w:fill="DCE6F1"/>
            <w:noWrap/>
            <w:vAlign w:val="center"/>
            <w:hideMark/>
          </w:tcPr>
          <w:p w14:paraId="6977B492"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váženej priemernej sadzby mýta</w:t>
            </w:r>
          </w:p>
        </w:tc>
        <w:tc>
          <w:tcPr>
            <w:tcW w:w="1134" w:type="dxa"/>
            <w:shd w:val="clear" w:color="auto" w:fill="auto"/>
            <w:noWrap/>
            <w:vAlign w:val="center"/>
            <w:hideMark/>
          </w:tcPr>
          <w:p w14:paraId="305723E6" w14:textId="3F68B53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362 031 049</w:t>
            </w:r>
          </w:p>
        </w:tc>
        <w:tc>
          <w:tcPr>
            <w:tcW w:w="851" w:type="dxa"/>
            <w:shd w:val="clear" w:color="auto" w:fill="auto"/>
            <w:noWrap/>
            <w:vAlign w:val="center"/>
            <w:hideMark/>
          </w:tcPr>
          <w:p w14:paraId="1A0906BF" w14:textId="4FE7EEC6"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67549F35" w14:textId="0FBFF6C0"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779 324 021</w:t>
            </w:r>
          </w:p>
        </w:tc>
        <w:tc>
          <w:tcPr>
            <w:tcW w:w="993" w:type="dxa"/>
            <w:shd w:val="clear" w:color="auto" w:fill="auto"/>
            <w:noWrap/>
            <w:vAlign w:val="center"/>
            <w:hideMark/>
          </w:tcPr>
          <w:p w14:paraId="346C9B95" w14:textId="040510D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-1,35</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4599691D" w14:textId="5164BFCE"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3,870</w:t>
            </w:r>
          </w:p>
        </w:tc>
        <w:tc>
          <w:tcPr>
            <w:tcW w:w="851" w:type="dxa"/>
            <w:shd w:val="clear" w:color="auto" w:fill="auto"/>
            <w:noWrap/>
            <w:vAlign w:val="center"/>
            <w:hideMark/>
          </w:tcPr>
          <w:p w14:paraId="29624A0A" w14:textId="2DC75DB8"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-1,00</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015591C0" w14:textId="77777777" w:rsidTr="00A40297">
        <w:trPr>
          <w:trHeight w:val="240"/>
        </w:trPr>
        <w:tc>
          <w:tcPr>
            <w:tcW w:w="3539" w:type="dxa"/>
            <w:shd w:val="clear" w:color="000000" w:fill="DCE6F1"/>
            <w:noWrap/>
            <w:vAlign w:val="center"/>
            <w:hideMark/>
          </w:tcPr>
          <w:p w14:paraId="523766B6"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dopravných výkonov</w:t>
            </w:r>
          </w:p>
        </w:tc>
        <w:tc>
          <w:tcPr>
            <w:tcW w:w="1134" w:type="dxa"/>
            <w:shd w:val="clear" w:color="auto" w:fill="auto"/>
            <w:noWrap/>
            <w:vAlign w:val="center"/>
            <w:hideMark/>
          </w:tcPr>
          <w:p w14:paraId="326C2C62" w14:textId="54632ED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361 068 842</w:t>
            </w:r>
          </w:p>
        </w:tc>
        <w:tc>
          <w:tcPr>
            <w:tcW w:w="851" w:type="dxa"/>
            <w:shd w:val="clear" w:color="auto" w:fill="auto"/>
            <w:noWrap/>
            <w:vAlign w:val="center"/>
            <w:hideMark/>
          </w:tcPr>
          <w:p w14:paraId="7AEF8463" w14:textId="452A7DB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-0,27</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51B6D388" w14:textId="0A25BCBC"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780 055 448</w:t>
            </w:r>
          </w:p>
        </w:tc>
        <w:tc>
          <w:tcPr>
            <w:tcW w:w="993" w:type="dxa"/>
            <w:shd w:val="clear" w:color="auto" w:fill="auto"/>
            <w:noWrap/>
            <w:vAlign w:val="center"/>
            <w:hideMark/>
          </w:tcPr>
          <w:p w14:paraId="6DDDF520" w14:textId="20D3CC8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-1,26</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7711BBF7" w14:textId="785905B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3,881</w:t>
            </w:r>
          </w:p>
        </w:tc>
        <w:tc>
          <w:tcPr>
            <w:tcW w:w="851" w:type="dxa"/>
            <w:shd w:val="clear" w:color="auto" w:fill="auto"/>
            <w:noWrap/>
            <w:vAlign w:val="center"/>
            <w:hideMark/>
          </w:tcPr>
          <w:p w14:paraId="7E64EFEF" w14:textId="171AA63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-0,73</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3E5E77C4" w14:textId="77777777" w:rsidTr="00A40297">
        <w:trPr>
          <w:trHeight w:val="240"/>
        </w:trPr>
        <w:tc>
          <w:tcPr>
            <w:tcW w:w="3539" w:type="dxa"/>
            <w:shd w:val="clear" w:color="000000" w:fill="DCE6F1"/>
            <w:noWrap/>
            <w:vAlign w:val="center"/>
            <w:hideMark/>
          </w:tcPr>
          <w:p w14:paraId="4AC511D8"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Ročný počet mýtnych transakcií</w:t>
            </w:r>
          </w:p>
        </w:tc>
        <w:tc>
          <w:tcPr>
            <w:tcW w:w="1134" w:type="dxa"/>
            <w:shd w:val="clear" w:color="auto" w:fill="auto"/>
            <w:noWrap/>
            <w:vAlign w:val="center"/>
            <w:hideMark/>
          </w:tcPr>
          <w:p w14:paraId="054A73ED" w14:textId="74684EB2"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361 068 842</w:t>
            </w:r>
          </w:p>
        </w:tc>
        <w:tc>
          <w:tcPr>
            <w:tcW w:w="851" w:type="dxa"/>
            <w:shd w:val="clear" w:color="auto" w:fill="auto"/>
            <w:noWrap/>
            <w:vAlign w:val="center"/>
            <w:hideMark/>
          </w:tcPr>
          <w:p w14:paraId="144DEB9F" w14:textId="3257BEA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-0,27</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0C54DFCC" w14:textId="6B3977E9"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790 726 227</w:t>
            </w:r>
          </w:p>
        </w:tc>
        <w:tc>
          <w:tcPr>
            <w:tcW w:w="993" w:type="dxa"/>
            <w:shd w:val="clear" w:color="auto" w:fill="auto"/>
            <w:noWrap/>
            <w:vAlign w:val="center"/>
            <w:hideMark/>
          </w:tcPr>
          <w:p w14:paraId="2F1A4EF5" w14:textId="3B91A09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1F53C92C" w14:textId="5CCAE41F"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3,920</w:t>
            </w:r>
          </w:p>
        </w:tc>
        <w:tc>
          <w:tcPr>
            <w:tcW w:w="851" w:type="dxa"/>
            <w:shd w:val="clear" w:color="auto" w:fill="auto"/>
            <w:noWrap/>
            <w:vAlign w:val="center"/>
            <w:hideMark/>
          </w:tcPr>
          <w:p w14:paraId="6C59715A" w14:textId="67D657DC"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0,27</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7A0DFFFE" w14:textId="77777777" w:rsidTr="00A40297">
        <w:trPr>
          <w:trHeight w:val="240"/>
        </w:trPr>
        <w:tc>
          <w:tcPr>
            <w:tcW w:w="3539" w:type="dxa"/>
            <w:shd w:val="clear" w:color="000000" w:fill="DCE6F1"/>
            <w:noWrap/>
            <w:vAlign w:val="center"/>
            <w:hideMark/>
          </w:tcPr>
          <w:p w14:paraId="49256D99"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PK na platobných transakciách</w:t>
            </w:r>
          </w:p>
        </w:tc>
        <w:tc>
          <w:tcPr>
            <w:tcW w:w="1134" w:type="dxa"/>
            <w:shd w:val="clear" w:color="auto" w:fill="auto"/>
            <w:noWrap/>
            <w:vAlign w:val="center"/>
            <w:hideMark/>
          </w:tcPr>
          <w:p w14:paraId="3BEA66CA" w14:textId="24F58D82"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361 705 276</w:t>
            </w:r>
          </w:p>
        </w:tc>
        <w:tc>
          <w:tcPr>
            <w:tcW w:w="851" w:type="dxa"/>
            <w:shd w:val="clear" w:color="auto" w:fill="auto"/>
            <w:noWrap/>
            <w:vAlign w:val="center"/>
            <w:hideMark/>
          </w:tcPr>
          <w:p w14:paraId="2A7635EA" w14:textId="35EE9C2B"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13FF2661" w14:textId="1DE9F2E4"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790 249 392</w:t>
            </w:r>
          </w:p>
        </w:tc>
        <w:tc>
          <w:tcPr>
            <w:tcW w:w="993" w:type="dxa"/>
            <w:shd w:val="clear" w:color="auto" w:fill="auto"/>
            <w:noWrap/>
            <w:vAlign w:val="center"/>
            <w:hideMark/>
          </w:tcPr>
          <w:p w14:paraId="3E701EF2" w14:textId="6A26248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6E5FFD3B" w14:textId="54547E86"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3,913</w:t>
            </w:r>
          </w:p>
        </w:tc>
        <w:tc>
          <w:tcPr>
            <w:tcW w:w="851" w:type="dxa"/>
            <w:shd w:val="clear" w:color="auto" w:fill="auto"/>
            <w:noWrap/>
            <w:vAlign w:val="center"/>
            <w:hideMark/>
          </w:tcPr>
          <w:p w14:paraId="7382C009" w14:textId="3FC2AFC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13C91A48" w14:textId="77777777" w:rsidTr="00A40297">
        <w:trPr>
          <w:trHeight w:val="240"/>
        </w:trPr>
        <w:tc>
          <w:tcPr>
            <w:tcW w:w="3539" w:type="dxa"/>
            <w:shd w:val="clear" w:color="000000" w:fill="DCE6F1"/>
            <w:noWrap/>
            <w:vAlign w:val="center"/>
            <w:hideMark/>
          </w:tcPr>
          <w:p w14:paraId="0622B4AE"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poskytovateľov EETS na výbere mýta</w:t>
            </w:r>
          </w:p>
        </w:tc>
        <w:tc>
          <w:tcPr>
            <w:tcW w:w="1134" w:type="dxa"/>
            <w:shd w:val="clear" w:color="auto" w:fill="auto"/>
            <w:noWrap/>
            <w:vAlign w:val="center"/>
            <w:hideMark/>
          </w:tcPr>
          <w:p w14:paraId="7C7A1EFF" w14:textId="2ADE340B"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362 101 537</w:t>
            </w:r>
          </w:p>
        </w:tc>
        <w:tc>
          <w:tcPr>
            <w:tcW w:w="851" w:type="dxa"/>
            <w:shd w:val="clear" w:color="auto" w:fill="auto"/>
            <w:noWrap/>
            <w:vAlign w:val="center"/>
            <w:hideMark/>
          </w:tcPr>
          <w:p w14:paraId="740407C8" w14:textId="06BEA942"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59AB7A44" w14:textId="5B7004D8"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789 942 925</w:t>
            </w:r>
          </w:p>
        </w:tc>
        <w:tc>
          <w:tcPr>
            <w:tcW w:w="993" w:type="dxa"/>
            <w:shd w:val="clear" w:color="auto" w:fill="auto"/>
            <w:noWrap/>
            <w:vAlign w:val="center"/>
            <w:hideMark/>
          </w:tcPr>
          <w:p w14:paraId="227E7139" w14:textId="1196E0A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67CA6E79" w14:textId="64352E99"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3,909</w:t>
            </w:r>
          </w:p>
        </w:tc>
        <w:tc>
          <w:tcPr>
            <w:tcW w:w="851" w:type="dxa"/>
            <w:shd w:val="clear" w:color="auto" w:fill="auto"/>
            <w:noWrap/>
            <w:vAlign w:val="center"/>
            <w:hideMark/>
          </w:tcPr>
          <w:p w14:paraId="5BFCFED5" w14:textId="14842DA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505A9700" w14:textId="77777777" w:rsidTr="00A40297">
        <w:trPr>
          <w:trHeight w:val="240"/>
        </w:trPr>
        <w:tc>
          <w:tcPr>
            <w:tcW w:w="3539" w:type="dxa"/>
            <w:shd w:val="clear" w:color="000000" w:fill="DCE6F1"/>
            <w:noWrap/>
            <w:vAlign w:val="center"/>
            <w:hideMark/>
          </w:tcPr>
          <w:p w14:paraId="2501FB06"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Sadzba odmeny za kartové operácie</w:t>
            </w:r>
          </w:p>
        </w:tc>
        <w:tc>
          <w:tcPr>
            <w:tcW w:w="1134" w:type="dxa"/>
            <w:shd w:val="clear" w:color="auto" w:fill="auto"/>
            <w:noWrap/>
            <w:vAlign w:val="center"/>
            <w:hideMark/>
          </w:tcPr>
          <w:p w14:paraId="5807D7DD" w14:textId="2DD935A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361 829 776</w:t>
            </w:r>
          </w:p>
        </w:tc>
        <w:tc>
          <w:tcPr>
            <w:tcW w:w="851" w:type="dxa"/>
            <w:shd w:val="clear" w:color="auto" w:fill="auto"/>
            <w:noWrap/>
            <w:vAlign w:val="center"/>
            <w:hideMark/>
          </w:tcPr>
          <w:p w14:paraId="3FF12C73" w14:textId="0094257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22431896" w14:textId="4E6D881D"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790 145 049</w:t>
            </w:r>
          </w:p>
        </w:tc>
        <w:tc>
          <w:tcPr>
            <w:tcW w:w="993" w:type="dxa"/>
            <w:shd w:val="clear" w:color="auto" w:fill="auto"/>
            <w:noWrap/>
            <w:vAlign w:val="center"/>
            <w:hideMark/>
          </w:tcPr>
          <w:p w14:paraId="0313000C" w14:textId="0F645CF5"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0AF57FC4" w14:textId="184EE458"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3,912</w:t>
            </w:r>
          </w:p>
        </w:tc>
        <w:tc>
          <w:tcPr>
            <w:tcW w:w="851" w:type="dxa"/>
            <w:shd w:val="clear" w:color="auto" w:fill="auto"/>
            <w:noWrap/>
            <w:vAlign w:val="center"/>
            <w:hideMark/>
          </w:tcPr>
          <w:p w14:paraId="0733268D" w14:textId="54CE7983"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07E8E934" w14:textId="77777777" w:rsidTr="00A40297">
        <w:trPr>
          <w:trHeight w:val="240"/>
        </w:trPr>
        <w:tc>
          <w:tcPr>
            <w:tcW w:w="3539" w:type="dxa"/>
            <w:shd w:val="clear" w:color="000000" w:fill="DCE6F1"/>
            <w:noWrap/>
            <w:vAlign w:val="center"/>
            <w:hideMark/>
          </w:tcPr>
          <w:p w14:paraId="3E5FB6E4"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Zmena ceny realizácie a prevádzky CR-00190</w:t>
            </w:r>
          </w:p>
        </w:tc>
        <w:tc>
          <w:tcPr>
            <w:tcW w:w="1134" w:type="dxa"/>
            <w:shd w:val="clear" w:color="auto" w:fill="auto"/>
            <w:noWrap/>
            <w:vAlign w:val="center"/>
            <w:hideMark/>
          </w:tcPr>
          <w:p w14:paraId="78F81E3E" w14:textId="10188962"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361 928 123</w:t>
            </w:r>
          </w:p>
        </w:tc>
        <w:tc>
          <w:tcPr>
            <w:tcW w:w="851" w:type="dxa"/>
            <w:shd w:val="clear" w:color="auto" w:fill="auto"/>
            <w:noWrap/>
            <w:vAlign w:val="center"/>
            <w:hideMark/>
          </w:tcPr>
          <w:p w14:paraId="61AD336C" w14:textId="5B6BB145"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1133" w:type="dxa"/>
            <w:shd w:val="clear" w:color="auto" w:fill="auto"/>
            <w:noWrap/>
            <w:vAlign w:val="center"/>
            <w:hideMark/>
          </w:tcPr>
          <w:p w14:paraId="4C9A9CA9" w14:textId="4D7C8074"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790 078 908</w:t>
            </w:r>
          </w:p>
        </w:tc>
        <w:tc>
          <w:tcPr>
            <w:tcW w:w="993" w:type="dxa"/>
            <w:shd w:val="clear" w:color="auto" w:fill="auto"/>
            <w:noWrap/>
            <w:vAlign w:val="center"/>
            <w:hideMark/>
          </w:tcPr>
          <w:p w14:paraId="6278E4D8" w14:textId="3253980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52F0306C" w14:textId="4BFC0BA6"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3,910</w:t>
            </w:r>
          </w:p>
        </w:tc>
        <w:tc>
          <w:tcPr>
            <w:tcW w:w="851" w:type="dxa"/>
            <w:shd w:val="clear" w:color="auto" w:fill="auto"/>
            <w:noWrap/>
            <w:vAlign w:val="center"/>
            <w:hideMark/>
          </w:tcPr>
          <w:p w14:paraId="637E8609" w14:textId="341610D3"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r>
    </w:tbl>
    <w:p w14:paraId="00244C29" w14:textId="1574A0A9" w:rsidR="00383CB8" w:rsidRDefault="00383CB8" w:rsidP="00383CB8">
      <w:pPr>
        <w:rPr>
          <w:i/>
          <w:sz w:val="16"/>
        </w:rPr>
      </w:pPr>
      <w:r w:rsidRPr="00DA4343">
        <w:rPr>
          <w:i/>
          <w:sz w:val="16"/>
        </w:rPr>
        <w:t xml:space="preserve">Zdroj: Príloha 1, hárok </w:t>
      </w:r>
      <w:r>
        <w:rPr>
          <w:i/>
          <w:sz w:val="16"/>
        </w:rPr>
        <w:t>12</w:t>
      </w:r>
    </w:p>
    <w:p w14:paraId="472EB269" w14:textId="1B282B76" w:rsidR="00383CB8" w:rsidRDefault="00383CB8" w:rsidP="00383CB8">
      <w:pPr>
        <w:rPr>
          <w:sz w:val="16"/>
        </w:rPr>
      </w:pPr>
    </w:p>
    <w:p w14:paraId="12D0DAAA" w14:textId="705A8E71" w:rsidR="0049385D" w:rsidRDefault="0049385D" w:rsidP="00383CB8">
      <w:pPr>
        <w:pStyle w:val="BodyText"/>
        <w:keepNext/>
      </w:pPr>
      <w:r>
        <w:rPr>
          <w:noProof/>
          <w:lang w:val="cs-CZ"/>
        </w:rPr>
        <w:lastRenderedPageBreak/>
        <w:drawing>
          <wp:inline distT="0" distB="0" distL="0" distR="0" wp14:anchorId="10B11541" wp14:editId="51BB505E">
            <wp:extent cx="5866334" cy="245800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697" cy="2466534"/>
                    </a:xfrm>
                    <a:prstGeom prst="rect">
                      <a:avLst/>
                    </a:prstGeom>
                    <a:noFill/>
                  </pic:spPr>
                </pic:pic>
              </a:graphicData>
            </a:graphic>
          </wp:inline>
        </w:drawing>
      </w:r>
    </w:p>
    <w:p w14:paraId="6F181B0A" w14:textId="0FE7C97A" w:rsidR="00383CB8" w:rsidRDefault="00383CB8" w:rsidP="00383CB8">
      <w:pPr>
        <w:pStyle w:val="Caption"/>
      </w:pPr>
      <w:r>
        <w:t xml:space="preserve">Obr. </w:t>
      </w:r>
      <w:r>
        <w:fldChar w:fldCharType="begin"/>
      </w:r>
      <w:r>
        <w:instrText xml:space="preserve"> SEQ Obr. \* ARABIC </w:instrText>
      </w:r>
      <w:r>
        <w:fldChar w:fldCharType="separate"/>
      </w:r>
      <w:r w:rsidR="00A86720">
        <w:rPr>
          <w:noProof/>
        </w:rPr>
        <w:t>6</w:t>
      </w:r>
      <w:r>
        <w:fldChar w:fldCharType="end"/>
      </w:r>
      <w:r>
        <w:t xml:space="preserve"> - Porovnanie výsledkov citlivostnej analýzy, ukazovateľ celkové náklady projektu (TCO)</w:t>
      </w:r>
    </w:p>
    <w:p w14:paraId="53BC0C82" w14:textId="6D359246" w:rsidR="00383CB8" w:rsidRDefault="00383CB8" w:rsidP="00383CB8"/>
    <w:p w14:paraId="618714D5" w14:textId="5D177943" w:rsidR="0049385D" w:rsidRDefault="0049385D" w:rsidP="00383CB8">
      <w:pPr>
        <w:keepNext/>
      </w:pPr>
      <w:r>
        <w:rPr>
          <w:noProof/>
          <w:lang w:val="cs-CZ"/>
        </w:rPr>
        <w:drawing>
          <wp:inline distT="0" distB="0" distL="0" distR="0" wp14:anchorId="16E834A2" wp14:editId="7EC9D7EB">
            <wp:extent cx="5866334" cy="2458002"/>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3880" cy="2465354"/>
                    </a:xfrm>
                    <a:prstGeom prst="rect">
                      <a:avLst/>
                    </a:prstGeom>
                    <a:noFill/>
                  </pic:spPr>
                </pic:pic>
              </a:graphicData>
            </a:graphic>
          </wp:inline>
        </w:drawing>
      </w:r>
    </w:p>
    <w:p w14:paraId="3B3974C0" w14:textId="4A28F70E" w:rsidR="00383CB8" w:rsidRPr="00383CB8" w:rsidRDefault="00383CB8" w:rsidP="00383CB8">
      <w:pPr>
        <w:pStyle w:val="Caption"/>
      </w:pPr>
      <w:r>
        <w:t xml:space="preserve">Obr. </w:t>
      </w:r>
      <w:r>
        <w:fldChar w:fldCharType="begin"/>
      </w:r>
      <w:r>
        <w:instrText xml:space="preserve"> SEQ Obr. \* ARABIC </w:instrText>
      </w:r>
      <w:r>
        <w:fldChar w:fldCharType="separate"/>
      </w:r>
      <w:r w:rsidR="00A86720">
        <w:rPr>
          <w:noProof/>
        </w:rPr>
        <w:t>7</w:t>
      </w:r>
      <w:r>
        <w:fldChar w:fldCharType="end"/>
      </w:r>
      <w:r>
        <w:t xml:space="preserve"> - Porovnanie výsledkov citlivostnej analýzy, ukazovateľ ekonomická čistá súčasná hodnota (</w:t>
      </w:r>
      <w:r w:rsidR="008B55DB">
        <w:t>ENPV</w:t>
      </w:r>
      <w:r>
        <w:t>)</w:t>
      </w:r>
    </w:p>
    <w:p w14:paraId="4F7C8254" w14:textId="77777777" w:rsidR="00383CB8" w:rsidRDefault="00383CB8" w:rsidP="00383CB8">
      <w:pPr>
        <w:rPr>
          <w:i/>
          <w:sz w:val="16"/>
        </w:rPr>
      </w:pPr>
    </w:p>
    <w:p w14:paraId="461B1AC8" w14:textId="6893F50D" w:rsidR="0049385D" w:rsidRDefault="0049385D" w:rsidP="008B55DB">
      <w:pPr>
        <w:keepNext/>
      </w:pPr>
      <w:r>
        <w:rPr>
          <w:noProof/>
          <w:lang w:val="cs-CZ"/>
        </w:rPr>
        <w:drawing>
          <wp:inline distT="0" distB="0" distL="0" distR="0" wp14:anchorId="056410A5" wp14:editId="644F02E5">
            <wp:extent cx="5924855" cy="24825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729" cy="2490849"/>
                    </a:xfrm>
                    <a:prstGeom prst="rect">
                      <a:avLst/>
                    </a:prstGeom>
                    <a:noFill/>
                  </pic:spPr>
                </pic:pic>
              </a:graphicData>
            </a:graphic>
          </wp:inline>
        </w:drawing>
      </w:r>
    </w:p>
    <w:p w14:paraId="4C30D66F" w14:textId="209AB499" w:rsidR="00383CB8" w:rsidRDefault="008B55DB" w:rsidP="008B55DB">
      <w:pPr>
        <w:pStyle w:val="Caption"/>
      </w:pPr>
      <w:r>
        <w:t xml:space="preserve">Obr. </w:t>
      </w:r>
      <w:r>
        <w:fldChar w:fldCharType="begin"/>
      </w:r>
      <w:r>
        <w:instrText xml:space="preserve"> SEQ Obr. \* ARABIC </w:instrText>
      </w:r>
      <w:r>
        <w:fldChar w:fldCharType="separate"/>
      </w:r>
      <w:r w:rsidR="00A86720">
        <w:rPr>
          <w:noProof/>
        </w:rPr>
        <w:t>8</w:t>
      </w:r>
      <w:r>
        <w:fldChar w:fldCharType="end"/>
      </w:r>
      <w:r>
        <w:t xml:space="preserve"> - Porovnanie výsledkov citlivostnej analýzy, ukazovateľ nákladovej efektívnosti projektu (B/C)</w:t>
      </w:r>
    </w:p>
    <w:p w14:paraId="0A5EFABE" w14:textId="77777777" w:rsidR="0045614A" w:rsidRDefault="0045614A" w:rsidP="00383CB8"/>
    <w:p w14:paraId="4AABD848" w14:textId="7AA336F3" w:rsidR="005A7D49" w:rsidRDefault="0095790F" w:rsidP="00A40297">
      <w:pPr>
        <w:pStyle w:val="Heading2"/>
      </w:pPr>
      <w:bookmarkStart w:id="193" w:name="_Toc74323997"/>
      <w:bookmarkStart w:id="194" w:name="_Toc74324126"/>
      <w:bookmarkStart w:id="195" w:name="_Toc74324238"/>
      <w:bookmarkStart w:id="196" w:name="_Toc74324350"/>
      <w:bookmarkStart w:id="197" w:name="_Toc74324461"/>
      <w:bookmarkStart w:id="198" w:name="_Toc74324571"/>
      <w:bookmarkStart w:id="199" w:name="_Toc74324680"/>
      <w:bookmarkStart w:id="200" w:name="_Toc74324788"/>
      <w:bookmarkStart w:id="201" w:name="_Toc74323998"/>
      <w:bookmarkStart w:id="202" w:name="_Toc74324127"/>
      <w:bookmarkStart w:id="203" w:name="_Toc74324239"/>
      <w:bookmarkStart w:id="204" w:name="_Toc74324351"/>
      <w:bookmarkStart w:id="205" w:name="_Toc74324462"/>
      <w:bookmarkStart w:id="206" w:name="_Toc74324572"/>
      <w:bookmarkStart w:id="207" w:name="_Toc74324681"/>
      <w:bookmarkStart w:id="208" w:name="_Toc74324789"/>
      <w:bookmarkStart w:id="209" w:name="_Toc74323999"/>
      <w:bookmarkStart w:id="210" w:name="_Toc74324128"/>
      <w:bookmarkStart w:id="211" w:name="_Toc74324240"/>
      <w:bookmarkStart w:id="212" w:name="_Toc74324352"/>
      <w:bookmarkStart w:id="213" w:name="_Toc74324463"/>
      <w:bookmarkStart w:id="214" w:name="_Toc74324573"/>
      <w:bookmarkStart w:id="215" w:name="_Toc74324682"/>
      <w:bookmarkStart w:id="216" w:name="_Toc74324790"/>
      <w:bookmarkStart w:id="217" w:name="_Toc74324000"/>
      <w:bookmarkStart w:id="218" w:name="_Toc74324129"/>
      <w:bookmarkStart w:id="219" w:name="_Toc74324241"/>
      <w:bookmarkStart w:id="220" w:name="_Toc74324353"/>
      <w:bookmarkStart w:id="221" w:name="_Toc74324464"/>
      <w:bookmarkStart w:id="222" w:name="_Toc74324574"/>
      <w:bookmarkStart w:id="223" w:name="_Toc74324683"/>
      <w:bookmarkStart w:id="224" w:name="_Toc74324791"/>
      <w:bookmarkStart w:id="225" w:name="_Toc8734877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lastRenderedPageBreak/>
        <w:t>Variant 2</w:t>
      </w:r>
      <w:bookmarkEnd w:id="225"/>
    </w:p>
    <w:p w14:paraId="6BC1F119" w14:textId="63BB550C" w:rsidR="00810817" w:rsidRDefault="005A7D49" w:rsidP="0095790F">
      <w:pPr>
        <w:spacing w:before="0" w:after="0" w:line="240" w:lineRule="auto"/>
        <w:jc w:val="left"/>
      </w:pPr>
      <w:r>
        <w:t xml:space="preserve">Výsledky analýzy citlivosti pre jednotlivé ukazovatele </w:t>
      </w:r>
      <w:r w:rsidR="00810817">
        <w:t xml:space="preserve">vo variantu 2 </w:t>
      </w:r>
      <w:r>
        <w:t>sú uvedené v tabuľkách a grafoch nižšie.</w:t>
      </w:r>
    </w:p>
    <w:p w14:paraId="0CC7FC88" w14:textId="66CBBDBA" w:rsidR="00810817" w:rsidRDefault="00810817" w:rsidP="0095790F">
      <w:pPr>
        <w:spacing w:before="0" w:after="0" w:line="240" w:lineRule="auto"/>
        <w:jc w:val="left"/>
      </w:pPr>
    </w:p>
    <w:p w14:paraId="47D202B2" w14:textId="36959DE2" w:rsidR="00810817" w:rsidRDefault="00810817" w:rsidP="00A40297">
      <w:pPr>
        <w:pStyle w:val="Caption"/>
      </w:pPr>
      <w:r>
        <w:t xml:space="preserve">Tab. </w:t>
      </w:r>
      <w:r>
        <w:fldChar w:fldCharType="begin"/>
      </w:r>
      <w:r>
        <w:instrText xml:space="preserve"> SEQ Tab. \* ARABIC </w:instrText>
      </w:r>
      <w:r>
        <w:fldChar w:fldCharType="separate"/>
      </w:r>
      <w:r w:rsidR="00A86720">
        <w:rPr>
          <w:noProof/>
        </w:rPr>
        <w:t>65</w:t>
      </w:r>
      <w:r>
        <w:fldChar w:fldCharType="end"/>
      </w:r>
      <w:r>
        <w:t xml:space="preserve"> - </w:t>
      </w:r>
      <w:r w:rsidRPr="00810817">
        <w:t>Analýza citlivosti finančných a ekonomických ukazovateľov, zmena vstupných parametrov o + 1 %</w:t>
      </w:r>
      <w:r>
        <w:t>,</w:t>
      </w:r>
      <w:r>
        <w:br/>
        <w:t>Variant 2</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539"/>
        <w:gridCol w:w="1134"/>
        <w:gridCol w:w="851"/>
        <w:gridCol w:w="1275"/>
        <w:gridCol w:w="851"/>
        <w:gridCol w:w="850"/>
        <w:gridCol w:w="851"/>
      </w:tblGrid>
      <w:tr w:rsidR="004C5A5B" w:rsidRPr="00A40297" w14:paraId="7037C544" w14:textId="77777777" w:rsidTr="00A40297">
        <w:trPr>
          <w:trHeight w:val="510"/>
        </w:trPr>
        <w:tc>
          <w:tcPr>
            <w:tcW w:w="3539" w:type="dxa"/>
            <w:shd w:val="clear" w:color="000000" w:fill="B8CCE4"/>
            <w:noWrap/>
            <w:vAlign w:val="center"/>
            <w:hideMark/>
          </w:tcPr>
          <w:p w14:paraId="502FA6F4" w14:textId="77777777" w:rsidR="004C5A5B" w:rsidRPr="00A40297" w:rsidRDefault="004C5A5B" w:rsidP="004C5A5B">
            <w:pPr>
              <w:spacing w:before="0" w:after="0" w:line="240" w:lineRule="auto"/>
              <w:jc w:val="left"/>
              <w:rPr>
                <w:rFonts w:ascii="Calibri" w:hAnsi="Calibri" w:cs="Calibri"/>
                <w:b/>
                <w:bCs/>
                <w:sz w:val="18"/>
                <w:szCs w:val="18"/>
              </w:rPr>
            </w:pPr>
            <w:r w:rsidRPr="00A40297">
              <w:rPr>
                <w:rFonts w:ascii="Calibri" w:hAnsi="Calibri" w:cs="Calibri"/>
                <w:b/>
                <w:bCs/>
                <w:sz w:val="18"/>
                <w:szCs w:val="18"/>
              </w:rPr>
              <w:t>Zmena vstupného parametra o +1 %</w:t>
            </w:r>
          </w:p>
        </w:tc>
        <w:tc>
          <w:tcPr>
            <w:tcW w:w="1985" w:type="dxa"/>
            <w:gridSpan w:val="2"/>
            <w:shd w:val="clear" w:color="000000" w:fill="B8CCE4"/>
            <w:vAlign w:val="center"/>
            <w:hideMark/>
          </w:tcPr>
          <w:p w14:paraId="4D1CAB7F" w14:textId="0160FE64" w:rsidR="004C5A5B" w:rsidRPr="00A40297" w:rsidRDefault="004C5A5B" w:rsidP="00A40297">
            <w:pPr>
              <w:spacing w:before="0" w:after="0" w:line="240" w:lineRule="auto"/>
              <w:jc w:val="center"/>
              <w:rPr>
                <w:rFonts w:ascii="Calibri" w:hAnsi="Calibri" w:cs="Calibri"/>
                <w:sz w:val="18"/>
                <w:szCs w:val="18"/>
              </w:rPr>
            </w:pPr>
            <w:r w:rsidRPr="00A40297">
              <w:rPr>
                <w:rFonts w:ascii="Calibri" w:hAnsi="Calibri" w:cs="Calibri"/>
                <w:sz w:val="18"/>
                <w:szCs w:val="18"/>
              </w:rPr>
              <w:t>Celkové náklady projektu</w:t>
            </w:r>
          </w:p>
        </w:tc>
        <w:tc>
          <w:tcPr>
            <w:tcW w:w="2126" w:type="dxa"/>
            <w:gridSpan w:val="2"/>
            <w:shd w:val="clear" w:color="000000" w:fill="B8CCE4"/>
            <w:vAlign w:val="center"/>
            <w:hideMark/>
          </w:tcPr>
          <w:p w14:paraId="7B478FFD" w14:textId="010BFFA0" w:rsidR="004C5A5B" w:rsidRPr="00A40297" w:rsidRDefault="004C5A5B" w:rsidP="00A40297">
            <w:pPr>
              <w:spacing w:before="0" w:after="0" w:line="240" w:lineRule="auto"/>
              <w:jc w:val="center"/>
              <w:rPr>
                <w:rFonts w:ascii="Calibri" w:hAnsi="Calibri" w:cs="Calibri"/>
                <w:sz w:val="18"/>
                <w:szCs w:val="18"/>
              </w:rPr>
            </w:pPr>
            <w:r w:rsidRPr="00A40297">
              <w:rPr>
                <w:rFonts w:ascii="Calibri" w:hAnsi="Calibri" w:cs="Calibri"/>
                <w:sz w:val="18"/>
                <w:szCs w:val="18"/>
              </w:rPr>
              <w:t>Ekonomická čistá súčasná hodnota</w:t>
            </w:r>
          </w:p>
        </w:tc>
        <w:tc>
          <w:tcPr>
            <w:tcW w:w="1701" w:type="dxa"/>
            <w:gridSpan w:val="2"/>
            <w:shd w:val="clear" w:color="000000" w:fill="B8CCE4"/>
            <w:vAlign w:val="center"/>
            <w:hideMark/>
          </w:tcPr>
          <w:p w14:paraId="5D5064CC" w14:textId="445A4091" w:rsidR="004C5A5B" w:rsidRPr="00A40297" w:rsidRDefault="004C5A5B" w:rsidP="00A40297">
            <w:pPr>
              <w:spacing w:before="0" w:after="0" w:line="240" w:lineRule="auto"/>
              <w:jc w:val="center"/>
              <w:rPr>
                <w:rFonts w:ascii="Calibri" w:hAnsi="Calibri" w:cs="Calibri"/>
                <w:sz w:val="18"/>
                <w:szCs w:val="18"/>
              </w:rPr>
            </w:pPr>
            <w:r w:rsidRPr="00A40297">
              <w:rPr>
                <w:rFonts w:ascii="Calibri" w:hAnsi="Calibri" w:cs="Calibri"/>
                <w:sz w:val="18"/>
                <w:szCs w:val="18"/>
              </w:rPr>
              <w:t>Nákladová efektívnosť (ekonomická)</w:t>
            </w:r>
          </w:p>
        </w:tc>
      </w:tr>
      <w:tr w:rsidR="004C5A5B" w:rsidRPr="00A40297" w14:paraId="7065DFFE" w14:textId="77777777" w:rsidTr="00A40297">
        <w:trPr>
          <w:trHeight w:val="240"/>
        </w:trPr>
        <w:tc>
          <w:tcPr>
            <w:tcW w:w="3539" w:type="dxa"/>
            <w:shd w:val="clear" w:color="000000" w:fill="B8CCE4"/>
            <w:noWrap/>
            <w:vAlign w:val="center"/>
            <w:hideMark/>
          </w:tcPr>
          <w:p w14:paraId="2697B5C5" w14:textId="77777777" w:rsidR="004C5A5B" w:rsidRPr="00A40297" w:rsidRDefault="004C5A5B" w:rsidP="00C81C52">
            <w:pPr>
              <w:spacing w:before="0" w:after="0" w:line="240" w:lineRule="auto"/>
              <w:jc w:val="left"/>
              <w:rPr>
                <w:rFonts w:ascii="Calibri" w:hAnsi="Calibri" w:cs="Calibri"/>
                <w:i/>
                <w:iCs/>
                <w:sz w:val="18"/>
                <w:szCs w:val="18"/>
              </w:rPr>
            </w:pPr>
            <w:r w:rsidRPr="00A40297">
              <w:rPr>
                <w:rFonts w:ascii="Calibri" w:hAnsi="Calibri" w:cs="Calibri"/>
                <w:i/>
                <w:iCs/>
                <w:sz w:val="18"/>
                <w:szCs w:val="18"/>
              </w:rPr>
              <w:t>Východisková hodnota</w:t>
            </w:r>
          </w:p>
        </w:tc>
        <w:tc>
          <w:tcPr>
            <w:tcW w:w="1134" w:type="dxa"/>
            <w:shd w:val="clear" w:color="000000" w:fill="B8CCE4"/>
            <w:noWrap/>
            <w:vAlign w:val="center"/>
            <w:hideMark/>
          </w:tcPr>
          <w:p w14:paraId="252507FB" w14:textId="4D903875" w:rsidR="004C5A5B" w:rsidRPr="00A40297" w:rsidRDefault="00F6764A" w:rsidP="00A40297">
            <w:pPr>
              <w:spacing w:before="0" w:after="0" w:line="240" w:lineRule="auto"/>
              <w:jc w:val="right"/>
              <w:rPr>
                <w:rFonts w:ascii="Calibri" w:hAnsi="Calibri" w:cs="Calibri"/>
                <w:sz w:val="18"/>
                <w:szCs w:val="18"/>
              </w:rPr>
            </w:pPr>
            <w:r w:rsidRPr="0083643B">
              <w:rPr>
                <w:rFonts w:ascii="Calibri" w:hAnsi="Calibri" w:cs="Calibri"/>
                <w:sz w:val="18"/>
                <w:szCs w:val="18"/>
              </w:rPr>
              <w:t>357 455 178</w:t>
            </w:r>
          </w:p>
        </w:tc>
        <w:tc>
          <w:tcPr>
            <w:tcW w:w="851" w:type="dxa"/>
            <w:shd w:val="clear" w:color="000000" w:fill="B8CCE4"/>
            <w:noWrap/>
            <w:vAlign w:val="center"/>
            <w:hideMark/>
          </w:tcPr>
          <w:p w14:paraId="18AFF19E" w14:textId="68FBE805" w:rsidR="004C5A5B" w:rsidRPr="00A40297" w:rsidRDefault="004C5A5B"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TCO</w:t>
            </w:r>
          </w:p>
        </w:tc>
        <w:tc>
          <w:tcPr>
            <w:tcW w:w="1275" w:type="dxa"/>
            <w:shd w:val="clear" w:color="000000" w:fill="B8CCE4"/>
            <w:noWrap/>
            <w:vAlign w:val="center"/>
            <w:hideMark/>
          </w:tcPr>
          <w:p w14:paraId="30D4EE2D" w14:textId="1496269A" w:rsidR="004C5A5B" w:rsidRPr="00A40297" w:rsidRDefault="00F6764A" w:rsidP="00726B8F">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796 584 381</w:t>
            </w:r>
          </w:p>
        </w:tc>
        <w:tc>
          <w:tcPr>
            <w:tcW w:w="851" w:type="dxa"/>
            <w:shd w:val="clear" w:color="000000" w:fill="B8CCE4"/>
            <w:noWrap/>
            <w:vAlign w:val="center"/>
            <w:hideMark/>
          </w:tcPr>
          <w:p w14:paraId="73C1FB87" w14:textId="0FAA4C62" w:rsidR="004C5A5B" w:rsidRPr="00A40297" w:rsidRDefault="004C5A5B"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ENPV</w:t>
            </w:r>
          </w:p>
        </w:tc>
        <w:tc>
          <w:tcPr>
            <w:tcW w:w="850" w:type="dxa"/>
            <w:shd w:val="clear" w:color="000000" w:fill="B8CCE4"/>
            <w:noWrap/>
            <w:vAlign w:val="center"/>
            <w:hideMark/>
          </w:tcPr>
          <w:p w14:paraId="73DB594F" w14:textId="5950DE16" w:rsidR="004C5A5B" w:rsidRPr="00A40297" w:rsidRDefault="00F6764A" w:rsidP="00046F9D">
            <w:pPr>
              <w:spacing w:before="0" w:after="0" w:line="240" w:lineRule="auto"/>
              <w:jc w:val="right"/>
              <w:rPr>
                <w:rFonts w:ascii="Calibri" w:hAnsi="Calibri" w:cs="Calibri"/>
                <w:sz w:val="18"/>
                <w:szCs w:val="18"/>
              </w:rPr>
            </w:pPr>
            <w:r w:rsidRPr="0083643B">
              <w:rPr>
                <w:rFonts w:ascii="Calibri" w:hAnsi="Calibri" w:cs="Calibri"/>
                <w:sz w:val="18"/>
                <w:szCs w:val="18"/>
              </w:rPr>
              <w:t>3,962</w:t>
            </w:r>
          </w:p>
        </w:tc>
        <w:tc>
          <w:tcPr>
            <w:tcW w:w="851" w:type="dxa"/>
            <w:shd w:val="clear" w:color="000000" w:fill="B8CCE4"/>
            <w:noWrap/>
            <w:vAlign w:val="center"/>
            <w:hideMark/>
          </w:tcPr>
          <w:p w14:paraId="40FE21DD" w14:textId="3159ED09" w:rsidR="004C5A5B" w:rsidRPr="00A40297" w:rsidRDefault="004C5A5B" w:rsidP="00A40297">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B/C</w:t>
            </w:r>
          </w:p>
        </w:tc>
      </w:tr>
      <w:tr w:rsidR="00F6764A" w:rsidRPr="00A40297" w14:paraId="66C7CA8F" w14:textId="77777777" w:rsidTr="00A40297">
        <w:trPr>
          <w:trHeight w:val="240"/>
        </w:trPr>
        <w:tc>
          <w:tcPr>
            <w:tcW w:w="3539" w:type="dxa"/>
            <w:shd w:val="clear" w:color="000000" w:fill="DCE6F1"/>
            <w:noWrap/>
            <w:vAlign w:val="center"/>
            <w:hideMark/>
          </w:tcPr>
          <w:p w14:paraId="0F4F02C5"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váženej priemernej sadzby mýta</w:t>
            </w:r>
          </w:p>
        </w:tc>
        <w:tc>
          <w:tcPr>
            <w:tcW w:w="1134" w:type="dxa"/>
            <w:shd w:val="clear" w:color="auto" w:fill="auto"/>
            <w:noWrap/>
            <w:vAlign w:val="center"/>
            <w:hideMark/>
          </w:tcPr>
          <w:p w14:paraId="6529FDD4" w14:textId="0E64E323"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357 577 442</w:t>
            </w:r>
          </w:p>
        </w:tc>
        <w:tc>
          <w:tcPr>
            <w:tcW w:w="851" w:type="dxa"/>
            <w:shd w:val="clear" w:color="auto" w:fill="auto"/>
            <w:noWrap/>
            <w:vAlign w:val="center"/>
            <w:hideMark/>
          </w:tcPr>
          <w:p w14:paraId="16FBAC0C" w14:textId="5BA80DD2"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50040FC4" w14:textId="59270E59"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796 325 214</w:t>
            </w:r>
          </w:p>
        </w:tc>
        <w:tc>
          <w:tcPr>
            <w:tcW w:w="851" w:type="dxa"/>
            <w:shd w:val="clear" w:color="auto" w:fill="auto"/>
            <w:noWrap/>
            <w:vAlign w:val="center"/>
            <w:hideMark/>
          </w:tcPr>
          <w:p w14:paraId="46DDB003" w14:textId="5AA6B3F6"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41B64CD0" w14:textId="4852D88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3,959</w:t>
            </w:r>
          </w:p>
        </w:tc>
        <w:tc>
          <w:tcPr>
            <w:tcW w:w="851" w:type="dxa"/>
            <w:shd w:val="clear" w:color="auto" w:fill="auto"/>
            <w:noWrap/>
            <w:vAlign w:val="center"/>
            <w:hideMark/>
          </w:tcPr>
          <w:p w14:paraId="09ADACB8" w14:textId="2BB551CF"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1F4F967F" w14:textId="77777777" w:rsidTr="00A40297">
        <w:trPr>
          <w:trHeight w:val="240"/>
        </w:trPr>
        <w:tc>
          <w:tcPr>
            <w:tcW w:w="3539" w:type="dxa"/>
            <w:shd w:val="clear" w:color="000000" w:fill="DCE6F1"/>
            <w:noWrap/>
            <w:vAlign w:val="center"/>
            <w:hideMark/>
          </w:tcPr>
          <w:p w14:paraId="19B2C73D"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dopravných výkonov</w:t>
            </w:r>
          </w:p>
        </w:tc>
        <w:tc>
          <w:tcPr>
            <w:tcW w:w="1134" w:type="dxa"/>
            <w:shd w:val="clear" w:color="auto" w:fill="auto"/>
            <w:noWrap/>
            <w:vAlign w:val="center"/>
            <w:hideMark/>
          </w:tcPr>
          <w:p w14:paraId="7A92293A" w14:textId="6610357C"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358 329 653</w:t>
            </w:r>
          </w:p>
        </w:tc>
        <w:tc>
          <w:tcPr>
            <w:tcW w:w="851" w:type="dxa"/>
            <w:shd w:val="clear" w:color="auto" w:fill="auto"/>
            <w:noWrap/>
            <w:vAlign w:val="center"/>
            <w:hideMark/>
          </w:tcPr>
          <w:p w14:paraId="54448D81" w14:textId="536A3AC3"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0,24</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64F57C61" w14:textId="2D5D2ECC"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795 731 374</w:t>
            </w:r>
          </w:p>
        </w:tc>
        <w:tc>
          <w:tcPr>
            <w:tcW w:w="851" w:type="dxa"/>
            <w:shd w:val="clear" w:color="auto" w:fill="auto"/>
            <w:noWrap/>
            <w:vAlign w:val="center"/>
            <w:hideMark/>
          </w:tcPr>
          <w:p w14:paraId="38B1925F" w14:textId="1E4F2E6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0F490707" w14:textId="5EB2D59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3,951</w:t>
            </w:r>
          </w:p>
        </w:tc>
        <w:tc>
          <w:tcPr>
            <w:tcW w:w="851" w:type="dxa"/>
            <w:shd w:val="clear" w:color="auto" w:fill="auto"/>
            <w:noWrap/>
            <w:vAlign w:val="center"/>
            <w:hideMark/>
          </w:tcPr>
          <w:p w14:paraId="7F9F5A13" w14:textId="1B2A124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-0,24</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26ABFE1E" w14:textId="77777777" w:rsidTr="00A40297">
        <w:trPr>
          <w:trHeight w:val="240"/>
        </w:trPr>
        <w:tc>
          <w:tcPr>
            <w:tcW w:w="3539" w:type="dxa"/>
            <w:shd w:val="clear" w:color="000000" w:fill="DCE6F1"/>
            <w:noWrap/>
            <w:vAlign w:val="center"/>
            <w:hideMark/>
          </w:tcPr>
          <w:p w14:paraId="4B4D48E6"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Ročný počet mýtnych transakcií</w:t>
            </w:r>
          </w:p>
        </w:tc>
        <w:tc>
          <w:tcPr>
            <w:tcW w:w="1134" w:type="dxa"/>
            <w:shd w:val="clear" w:color="auto" w:fill="auto"/>
            <w:noWrap/>
            <w:vAlign w:val="center"/>
            <w:hideMark/>
          </w:tcPr>
          <w:p w14:paraId="6EF27352" w14:textId="380CD490"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358 207 388</w:t>
            </w:r>
          </w:p>
        </w:tc>
        <w:tc>
          <w:tcPr>
            <w:tcW w:w="851" w:type="dxa"/>
            <w:shd w:val="clear" w:color="auto" w:fill="auto"/>
            <w:noWrap/>
            <w:vAlign w:val="center"/>
            <w:hideMark/>
          </w:tcPr>
          <w:p w14:paraId="663F13D6" w14:textId="7332CC5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0,21</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1CE8ED1C" w14:textId="7ED5A228"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795 836 761</w:t>
            </w:r>
          </w:p>
        </w:tc>
        <w:tc>
          <w:tcPr>
            <w:tcW w:w="851" w:type="dxa"/>
            <w:shd w:val="clear" w:color="auto" w:fill="auto"/>
            <w:noWrap/>
            <w:vAlign w:val="center"/>
            <w:hideMark/>
          </w:tcPr>
          <w:p w14:paraId="2EDD0205" w14:textId="354FF00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-0,07</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6FA35227" w14:textId="56B85CD0"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3,952</w:t>
            </w:r>
          </w:p>
        </w:tc>
        <w:tc>
          <w:tcPr>
            <w:tcW w:w="851" w:type="dxa"/>
            <w:shd w:val="clear" w:color="auto" w:fill="auto"/>
            <w:noWrap/>
            <w:vAlign w:val="center"/>
            <w:hideMark/>
          </w:tcPr>
          <w:p w14:paraId="6793A84A" w14:textId="003EBA32"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-0,21</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137FEA38" w14:textId="77777777" w:rsidTr="00A40297">
        <w:trPr>
          <w:trHeight w:val="240"/>
        </w:trPr>
        <w:tc>
          <w:tcPr>
            <w:tcW w:w="3539" w:type="dxa"/>
            <w:shd w:val="clear" w:color="000000" w:fill="DCE6F1"/>
            <w:noWrap/>
            <w:vAlign w:val="center"/>
            <w:hideMark/>
          </w:tcPr>
          <w:p w14:paraId="2F409992"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PK na platobných transakciách</w:t>
            </w:r>
          </w:p>
        </w:tc>
        <w:tc>
          <w:tcPr>
            <w:tcW w:w="1134" w:type="dxa"/>
            <w:shd w:val="clear" w:color="auto" w:fill="auto"/>
            <w:noWrap/>
            <w:vAlign w:val="center"/>
            <w:hideMark/>
          </w:tcPr>
          <w:p w14:paraId="5C503341" w14:textId="0179B170"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357 775 101</w:t>
            </w:r>
          </w:p>
        </w:tc>
        <w:tc>
          <w:tcPr>
            <w:tcW w:w="851" w:type="dxa"/>
            <w:shd w:val="clear" w:color="auto" w:fill="auto"/>
            <w:noWrap/>
            <w:vAlign w:val="center"/>
            <w:hideMark/>
          </w:tcPr>
          <w:p w14:paraId="0BCB2DD1" w14:textId="4F49753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0CA95F4E" w14:textId="5022DA3B"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796 173 463</w:t>
            </w:r>
          </w:p>
        </w:tc>
        <w:tc>
          <w:tcPr>
            <w:tcW w:w="851" w:type="dxa"/>
            <w:shd w:val="clear" w:color="auto" w:fill="auto"/>
            <w:noWrap/>
            <w:vAlign w:val="center"/>
            <w:hideMark/>
          </w:tcPr>
          <w:p w14:paraId="58B9E589" w14:textId="7A91C8B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6EA7AD6E" w14:textId="45CE015A"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3,957</w:t>
            </w:r>
          </w:p>
        </w:tc>
        <w:tc>
          <w:tcPr>
            <w:tcW w:w="851" w:type="dxa"/>
            <w:shd w:val="clear" w:color="auto" w:fill="auto"/>
            <w:noWrap/>
            <w:vAlign w:val="center"/>
            <w:hideMark/>
          </w:tcPr>
          <w:p w14:paraId="31B54E0C" w14:textId="0EF6F09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31F6F905" w14:textId="77777777" w:rsidTr="00A40297">
        <w:trPr>
          <w:trHeight w:val="240"/>
        </w:trPr>
        <w:tc>
          <w:tcPr>
            <w:tcW w:w="3539" w:type="dxa"/>
            <w:shd w:val="clear" w:color="000000" w:fill="DCE6F1"/>
            <w:noWrap/>
            <w:vAlign w:val="center"/>
            <w:hideMark/>
          </w:tcPr>
          <w:p w14:paraId="2D49213D"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Sadzba odmeny za kartové operácie</w:t>
            </w:r>
          </w:p>
        </w:tc>
        <w:tc>
          <w:tcPr>
            <w:tcW w:w="1134" w:type="dxa"/>
            <w:shd w:val="clear" w:color="auto" w:fill="auto"/>
            <w:noWrap/>
            <w:vAlign w:val="center"/>
            <w:hideMark/>
          </w:tcPr>
          <w:p w14:paraId="698CF228" w14:textId="3278DD93"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357 652 837</w:t>
            </w:r>
          </w:p>
        </w:tc>
        <w:tc>
          <w:tcPr>
            <w:tcW w:w="851" w:type="dxa"/>
            <w:shd w:val="clear" w:color="auto" w:fill="auto"/>
            <w:noWrap/>
            <w:vAlign w:val="center"/>
            <w:hideMark/>
          </w:tcPr>
          <w:p w14:paraId="5F32CFEE" w14:textId="7F3AD8E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3B5FD0C7" w14:textId="0FA12AC2"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796 278 849</w:t>
            </w:r>
          </w:p>
        </w:tc>
        <w:tc>
          <w:tcPr>
            <w:tcW w:w="851" w:type="dxa"/>
            <w:shd w:val="clear" w:color="auto" w:fill="auto"/>
            <w:noWrap/>
            <w:vAlign w:val="center"/>
            <w:hideMark/>
          </w:tcPr>
          <w:p w14:paraId="65D92AAC" w14:textId="63FDF8B5"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5746F428" w14:textId="213B2D8B"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3,958</w:t>
            </w:r>
          </w:p>
        </w:tc>
        <w:tc>
          <w:tcPr>
            <w:tcW w:w="851" w:type="dxa"/>
            <w:shd w:val="clear" w:color="auto" w:fill="auto"/>
            <w:noWrap/>
            <w:vAlign w:val="center"/>
            <w:hideMark/>
          </w:tcPr>
          <w:p w14:paraId="58117D0B" w14:textId="108C2F5B"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0B226171" w14:textId="77777777" w:rsidTr="00A40297">
        <w:trPr>
          <w:trHeight w:val="240"/>
        </w:trPr>
        <w:tc>
          <w:tcPr>
            <w:tcW w:w="3539" w:type="dxa"/>
            <w:shd w:val="clear" w:color="000000" w:fill="DCE6F1"/>
            <w:noWrap/>
            <w:vAlign w:val="center"/>
            <w:hideMark/>
          </w:tcPr>
          <w:p w14:paraId="6ABC0F7A"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poskytovateľov EETS na výbere mýta</w:t>
            </w:r>
          </w:p>
        </w:tc>
        <w:tc>
          <w:tcPr>
            <w:tcW w:w="1134" w:type="dxa"/>
            <w:shd w:val="clear" w:color="auto" w:fill="auto"/>
            <w:noWrap/>
            <w:vAlign w:val="center"/>
            <w:hideMark/>
          </w:tcPr>
          <w:p w14:paraId="4BAAB348" w14:textId="6D01602A"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357 506 710</w:t>
            </w:r>
          </w:p>
        </w:tc>
        <w:tc>
          <w:tcPr>
            <w:tcW w:w="851" w:type="dxa"/>
            <w:shd w:val="clear" w:color="auto" w:fill="auto"/>
            <w:noWrap/>
            <w:vAlign w:val="center"/>
            <w:hideMark/>
          </w:tcPr>
          <w:p w14:paraId="6EACA393" w14:textId="5D5209C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700C371C" w14:textId="2F4ED750"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796 392 075</w:t>
            </w:r>
          </w:p>
        </w:tc>
        <w:tc>
          <w:tcPr>
            <w:tcW w:w="851" w:type="dxa"/>
            <w:shd w:val="clear" w:color="auto" w:fill="auto"/>
            <w:noWrap/>
            <w:vAlign w:val="center"/>
            <w:hideMark/>
          </w:tcPr>
          <w:p w14:paraId="1FAB1EFE" w14:textId="11DDF03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02D0A675" w14:textId="0A5626E2"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3,959</w:t>
            </w:r>
          </w:p>
        </w:tc>
        <w:tc>
          <w:tcPr>
            <w:tcW w:w="851" w:type="dxa"/>
            <w:shd w:val="clear" w:color="auto" w:fill="auto"/>
            <w:noWrap/>
            <w:vAlign w:val="center"/>
            <w:hideMark/>
          </w:tcPr>
          <w:p w14:paraId="198E821D" w14:textId="0E7A5E5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5499A799" w14:textId="77777777" w:rsidTr="00A40297">
        <w:trPr>
          <w:trHeight w:val="240"/>
        </w:trPr>
        <w:tc>
          <w:tcPr>
            <w:tcW w:w="3539" w:type="dxa"/>
            <w:shd w:val="clear" w:color="000000" w:fill="DCE6F1"/>
            <w:noWrap/>
            <w:vAlign w:val="center"/>
            <w:hideMark/>
          </w:tcPr>
          <w:p w14:paraId="4100DA6F"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Sadzba odmeny poskytovateľov EETS (brutto)</w:t>
            </w:r>
          </w:p>
        </w:tc>
        <w:tc>
          <w:tcPr>
            <w:tcW w:w="1134" w:type="dxa"/>
            <w:shd w:val="clear" w:color="auto" w:fill="auto"/>
            <w:noWrap/>
            <w:vAlign w:val="center"/>
            <w:hideMark/>
          </w:tcPr>
          <w:p w14:paraId="58C89882" w14:textId="0781F0B9"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357 768 651</w:t>
            </w:r>
          </w:p>
        </w:tc>
        <w:tc>
          <w:tcPr>
            <w:tcW w:w="851" w:type="dxa"/>
            <w:shd w:val="clear" w:color="auto" w:fill="auto"/>
            <w:noWrap/>
            <w:vAlign w:val="center"/>
            <w:hideMark/>
          </w:tcPr>
          <w:p w14:paraId="228F984F" w14:textId="73AF17E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79D2C372" w14:textId="1F354300"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796 194 781</w:t>
            </w:r>
          </w:p>
        </w:tc>
        <w:tc>
          <w:tcPr>
            <w:tcW w:w="851" w:type="dxa"/>
            <w:shd w:val="clear" w:color="auto" w:fill="auto"/>
            <w:noWrap/>
            <w:vAlign w:val="center"/>
            <w:hideMark/>
          </w:tcPr>
          <w:p w14:paraId="25A0E7D3" w14:textId="3F96A306"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28EA436C" w14:textId="10F8FC0B"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3,956</w:t>
            </w:r>
          </w:p>
        </w:tc>
        <w:tc>
          <w:tcPr>
            <w:tcW w:w="851" w:type="dxa"/>
            <w:shd w:val="clear" w:color="auto" w:fill="auto"/>
            <w:noWrap/>
            <w:vAlign w:val="center"/>
            <w:hideMark/>
          </w:tcPr>
          <w:p w14:paraId="3E2961CC" w14:textId="5E1DF448"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2DC37EDA" w14:textId="77777777" w:rsidTr="00A40297">
        <w:trPr>
          <w:trHeight w:val="240"/>
        </w:trPr>
        <w:tc>
          <w:tcPr>
            <w:tcW w:w="3539" w:type="dxa"/>
            <w:shd w:val="clear" w:color="000000" w:fill="DCE6F1"/>
            <w:noWrap/>
            <w:vAlign w:val="center"/>
            <w:hideMark/>
          </w:tcPr>
          <w:p w14:paraId="25BF8647"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Zmena ceny realizácie a prevádzky CR-00190</w:t>
            </w:r>
          </w:p>
        </w:tc>
        <w:tc>
          <w:tcPr>
            <w:tcW w:w="1134" w:type="dxa"/>
            <w:shd w:val="clear" w:color="auto" w:fill="auto"/>
            <w:noWrap/>
            <w:vAlign w:val="center"/>
            <w:hideMark/>
          </w:tcPr>
          <w:p w14:paraId="3F8F28A3" w14:textId="3E315A8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357 456 380</w:t>
            </w:r>
          </w:p>
        </w:tc>
        <w:tc>
          <w:tcPr>
            <w:tcW w:w="851" w:type="dxa"/>
            <w:shd w:val="clear" w:color="auto" w:fill="auto"/>
            <w:noWrap/>
            <w:vAlign w:val="center"/>
            <w:hideMark/>
          </w:tcPr>
          <w:p w14:paraId="7216BCB2" w14:textId="07313DAB"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6D51DD71" w14:textId="07177B07" w:rsidR="00F6764A" w:rsidRPr="00A40297" w:rsidRDefault="00F6764A" w:rsidP="00F6764A">
            <w:pPr>
              <w:spacing w:before="0" w:after="0" w:line="240" w:lineRule="auto"/>
              <w:jc w:val="right"/>
              <w:rPr>
                <w:rFonts w:ascii="Calibri" w:hAnsi="Calibri" w:cs="Calibri"/>
                <w:sz w:val="18"/>
                <w:szCs w:val="18"/>
              </w:rPr>
            </w:pPr>
            <w:r w:rsidRPr="0083643B">
              <w:rPr>
                <w:rFonts w:asciiTheme="minorHAnsi" w:hAnsiTheme="minorHAnsi" w:cstheme="minorHAnsi"/>
                <w:sz w:val="18"/>
                <w:szCs w:val="18"/>
              </w:rPr>
              <w:t>796 420 713</w:t>
            </w:r>
          </w:p>
        </w:tc>
        <w:tc>
          <w:tcPr>
            <w:tcW w:w="851" w:type="dxa"/>
            <w:shd w:val="clear" w:color="auto" w:fill="auto"/>
            <w:noWrap/>
            <w:vAlign w:val="center"/>
            <w:hideMark/>
          </w:tcPr>
          <w:p w14:paraId="78A91DBA" w14:textId="6BD29E5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850" w:type="dxa"/>
            <w:shd w:val="clear" w:color="auto" w:fill="auto"/>
            <w:noWrap/>
            <w:vAlign w:val="center"/>
            <w:hideMark/>
          </w:tcPr>
          <w:p w14:paraId="0AE65525" w14:textId="0A10EBDD"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3,960</w:t>
            </w:r>
          </w:p>
        </w:tc>
        <w:tc>
          <w:tcPr>
            <w:tcW w:w="851" w:type="dxa"/>
            <w:shd w:val="clear" w:color="auto" w:fill="auto"/>
            <w:noWrap/>
            <w:vAlign w:val="center"/>
            <w:hideMark/>
          </w:tcPr>
          <w:p w14:paraId="415D278F" w14:textId="3014415B"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r>
    </w:tbl>
    <w:p w14:paraId="2FBB0EA4" w14:textId="77777777" w:rsidR="004C5A5B" w:rsidRDefault="004C5A5B" w:rsidP="004C5A5B">
      <w:pPr>
        <w:rPr>
          <w:i/>
          <w:sz w:val="16"/>
        </w:rPr>
      </w:pPr>
      <w:r w:rsidRPr="00DA4343">
        <w:rPr>
          <w:i/>
          <w:sz w:val="16"/>
        </w:rPr>
        <w:t xml:space="preserve">Zdroj: Príloha </w:t>
      </w:r>
      <w:r>
        <w:rPr>
          <w:i/>
          <w:sz w:val="16"/>
        </w:rPr>
        <w:t>2</w:t>
      </w:r>
      <w:r w:rsidRPr="00DA4343">
        <w:rPr>
          <w:i/>
          <w:sz w:val="16"/>
        </w:rPr>
        <w:t xml:space="preserve">, hárok </w:t>
      </w:r>
      <w:r>
        <w:rPr>
          <w:i/>
          <w:sz w:val="16"/>
        </w:rPr>
        <w:t>12</w:t>
      </w:r>
    </w:p>
    <w:p w14:paraId="33AB4A1F" w14:textId="77777777" w:rsidR="004C5A5B" w:rsidRDefault="004C5A5B"/>
    <w:p w14:paraId="6E3A532F" w14:textId="162B8025" w:rsidR="004C5A5B" w:rsidRDefault="004C5A5B" w:rsidP="00A40297">
      <w:pPr>
        <w:pStyle w:val="Caption"/>
      </w:pPr>
      <w:r>
        <w:t xml:space="preserve">Tab. </w:t>
      </w:r>
      <w:r>
        <w:fldChar w:fldCharType="begin"/>
      </w:r>
      <w:r>
        <w:instrText xml:space="preserve"> SEQ Tab. \* ARABIC </w:instrText>
      </w:r>
      <w:r>
        <w:fldChar w:fldCharType="separate"/>
      </w:r>
      <w:r w:rsidR="00A86720">
        <w:rPr>
          <w:noProof/>
        </w:rPr>
        <w:t>66</w:t>
      </w:r>
      <w:r>
        <w:fldChar w:fldCharType="end"/>
      </w:r>
      <w:r>
        <w:t xml:space="preserve"> - </w:t>
      </w:r>
      <w:r w:rsidRPr="0059074F">
        <w:t>Analýza citlivosti finančných a ekonomických ukazovateľov, zmena vstupných parametrov o - 1 %</w:t>
      </w:r>
      <w:r>
        <w:t>,</w:t>
      </w:r>
      <w:r>
        <w:br/>
        <w:t>Variant 2</w:t>
      </w:r>
    </w:p>
    <w:tbl>
      <w:tblPr>
        <w:tblW w:w="95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539"/>
        <w:gridCol w:w="1134"/>
        <w:gridCol w:w="851"/>
        <w:gridCol w:w="1275"/>
        <w:gridCol w:w="851"/>
        <w:gridCol w:w="1006"/>
        <w:gridCol w:w="851"/>
      </w:tblGrid>
      <w:tr w:rsidR="004C5A5B" w:rsidRPr="00A40297" w14:paraId="67093C16" w14:textId="77777777" w:rsidTr="00F6764A">
        <w:trPr>
          <w:trHeight w:val="510"/>
        </w:trPr>
        <w:tc>
          <w:tcPr>
            <w:tcW w:w="3539" w:type="dxa"/>
            <w:shd w:val="clear" w:color="000000" w:fill="B8CCE4"/>
            <w:noWrap/>
            <w:vAlign w:val="center"/>
            <w:hideMark/>
          </w:tcPr>
          <w:p w14:paraId="6E234EBB" w14:textId="77777777" w:rsidR="004C5A5B" w:rsidRPr="00A40297" w:rsidRDefault="004C5A5B" w:rsidP="004C5A5B">
            <w:pPr>
              <w:spacing w:before="0" w:after="0" w:line="240" w:lineRule="auto"/>
              <w:jc w:val="left"/>
              <w:rPr>
                <w:rFonts w:ascii="Calibri" w:hAnsi="Calibri" w:cs="Calibri"/>
                <w:b/>
                <w:bCs/>
                <w:sz w:val="18"/>
                <w:szCs w:val="18"/>
              </w:rPr>
            </w:pPr>
            <w:r w:rsidRPr="00A40297">
              <w:rPr>
                <w:rFonts w:ascii="Calibri" w:hAnsi="Calibri" w:cs="Calibri"/>
                <w:b/>
                <w:bCs/>
                <w:sz w:val="18"/>
                <w:szCs w:val="18"/>
              </w:rPr>
              <w:t>Zmena vstupného parametra o -1 %</w:t>
            </w:r>
          </w:p>
        </w:tc>
        <w:tc>
          <w:tcPr>
            <w:tcW w:w="1985" w:type="dxa"/>
            <w:gridSpan w:val="2"/>
            <w:shd w:val="clear" w:color="000000" w:fill="B8CCE4"/>
            <w:vAlign w:val="center"/>
            <w:hideMark/>
          </w:tcPr>
          <w:p w14:paraId="4C119DB3" w14:textId="6E3FB2DA" w:rsidR="004C5A5B" w:rsidRPr="00A40297" w:rsidRDefault="004C5A5B" w:rsidP="00A40297">
            <w:pPr>
              <w:spacing w:before="0" w:after="0" w:line="240" w:lineRule="auto"/>
              <w:jc w:val="center"/>
              <w:rPr>
                <w:rFonts w:ascii="Calibri" w:hAnsi="Calibri" w:cs="Calibri"/>
                <w:sz w:val="18"/>
                <w:szCs w:val="18"/>
              </w:rPr>
            </w:pPr>
            <w:r w:rsidRPr="00A40297">
              <w:rPr>
                <w:rFonts w:ascii="Calibri" w:hAnsi="Calibri" w:cs="Calibri"/>
                <w:sz w:val="18"/>
                <w:szCs w:val="18"/>
              </w:rPr>
              <w:t>Celkové náklady projektu</w:t>
            </w:r>
          </w:p>
        </w:tc>
        <w:tc>
          <w:tcPr>
            <w:tcW w:w="2126" w:type="dxa"/>
            <w:gridSpan w:val="2"/>
            <w:shd w:val="clear" w:color="000000" w:fill="B8CCE4"/>
            <w:vAlign w:val="center"/>
            <w:hideMark/>
          </w:tcPr>
          <w:p w14:paraId="3BB1623E" w14:textId="1CBD4002" w:rsidR="004C5A5B" w:rsidRPr="00A40297" w:rsidRDefault="004C5A5B" w:rsidP="00A40297">
            <w:pPr>
              <w:spacing w:before="0" w:after="0" w:line="240" w:lineRule="auto"/>
              <w:jc w:val="center"/>
              <w:rPr>
                <w:rFonts w:ascii="Calibri" w:hAnsi="Calibri" w:cs="Calibri"/>
                <w:sz w:val="18"/>
                <w:szCs w:val="18"/>
              </w:rPr>
            </w:pPr>
            <w:r w:rsidRPr="00A40297">
              <w:rPr>
                <w:rFonts w:ascii="Calibri" w:hAnsi="Calibri" w:cs="Calibri"/>
                <w:sz w:val="18"/>
                <w:szCs w:val="18"/>
              </w:rPr>
              <w:t>Ekonomická čistá súčasná hodnota</w:t>
            </w:r>
          </w:p>
        </w:tc>
        <w:tc>
          <w:tcPr>
            <w:tcW w:w="1857" w:type="dxa"/>
            <w:gridSpan w:val="2"/>
            <w:shd w:val="clear" w:color="000000" w:fill="B8CCE4"/>
            <w:vAlign w:val="center"/>
            <w:hideMark/>
          </w:tcPr>
          <w:p w14:paraId="2A1E49FD" w14:textId="234D50B0" w:rsidR="004C5A5B" w:rsidRPr="00A40297" w:rsidRDefault="004C5A5B" w:rsidP="00A40297">
            <w:pPr>
              <w:spacing w:before="0" w:after="0" w:line="240" w:lineRule="auto"/>
              <w:jc w:val="center"/>
              <w:rPr>
                <w:rFonts w:ascii="Calibri" w:hAnsi="Calibri" w:cs="Calibri"/>
                <w:sz w:val="18"/>
                <w:szCs w:val="18"/>
              </w:rPr>
            </w:pPr>
            <w:r w:rsidRPr="00A40297">
              <w:rPr>
                <w:rFonts w:ascii="Calibri" w:hAnsi="Calibri" w:cs="Calibri"/>
                <w:sz w:val="18"/>
                <w:szCs w:val="18"/>
              </w:rPr>
              <w:t>Nákladová efektívnosť (ekonomická)</w:t>
            </w:r>
          </w:p>
        </w:tc>
      </w:tr>
      <w:tr w:rsidR="00F6764A" w:rsidRPr="00A40297" w14:paraId="05AFD158" w14:textId="77777777" w:rsidTr="00F6764A">
        <w:trPr>
          <w:trHeight w:val="240"/>
        </w:trPr>
        <w:tc>
          <w:tcPr>
            <w:tcW w:w="3539" w:type="dxa"/>
            <w:shd w:val="clear" w:color="000000" w:fill="B8CCE4"/>
            <w:noWrap/>
            <w:vAlign w:val="center"/>
            <w:hideMark/>
          </w:tcPr>
          <w:p w14:paraId="6852F547" w14:textId="77777777" w:rsidR="00F6764A" w:rsidRPr="00A40297" w:rsidRDefault="00F6764A" w:rsidP="00F6764A">
            <w:pPr>
              <w:spacing w:before="0" w:after="0" w:line="240" w:lineRule="auto"/>
              <w:jc w:val="left"/>
              <w:rPr>
                <w:rFonts w:ascii="Calibri" w:hAnsi="Calibri" w:cs="Calibri"/>
                <w:i/>
                <w:iCs/>
                <w:sz w:val="18"/>
                <w:szCs w:val="18"/>
              </w:rPr>
            </w:pPr>
            <w:r w:rsidRPr="00A40297">
              <w:rPr>
                <w:rFonts w:ascii="Calibri" w:hAnsi="Calibri" w:cs="Calibri"/>
                <w:i/>
                <w:iCs/>
                <w:sz w:val="18"/>
                <w:szCs w:val="18"/>
              </w:rPr>
              <w:t>Východisková hodnota</w:t>
            </w:r>
          </w:p>
        </w:tc>
        <w:tc>
          <w:tcPr>
            <w:tcW w:w="1134" w:type="dxa"/>
            <w:shd w:val="clear" w:color="000000" w:fill="B8CCE4"/>
            <w:noWrap/>
            <w:vAlign w:val="center"/>
            <w:hideMark/>
          </w:tcPr>
          <w:p w14:paraId="5198841A" w14:textId="141BFF4D"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357 455 178</w:t>
            </w:r>
          </w:p>
        </w:tc>
        <w:tc>
          <w:tcPr>
            <w:tcW w:w="851" w:type="dxa"/>
            <w:shd w:val="clear" w:color="000000" w:fill="B8CCE4"/>
            <w:noWrap/>
            <w:vAlign w:val="center"/>
            <w:hideMark/>
          </w:tcPr>
          <w:p w14:paraId="6310B515" w14:textId="45B2156C" w:rsidR="00F6764A" w:rsidRPr="00A40297" w:rsidRDefault="00F6764A" w:rsidP="00F6764A">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TCO</w:t>
            </w:r>
          </w:p>
        </w:tc>
        <w:tc>
          <w:tcPr>
            <w:tcW w:w="1275" w:type="dxa"/>
            <w:shd w:val="clear" w:color="000000" w:fill="B8CCE4"/>
            <w:noWrap/>
            <w:vAlign w:val="center"/>
            <w:hideMark/>
          </w:tcPr>
          <w:p w14:paraId="12FFC617" w14:textId="26C84BF6"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796 584 381</w:t>
            </w:r>
          </w:p>
        </w:tc>
        <w:tc>
          <w:tcPr>
            <w:tcW w:w="851" w:type="dxa"/>
            <w:shd w:val="clear" w:color="000000" w:fill="B8CCE4"/>
            <w:noWrap/>
            <w:vAlign w:val="center"/>
            <w:hideMark/>
          </w:tcPr>
          <w:p w14:paraId="795F2390" w14:textId="20EB0F3A" w:rsidR="00F6764A" w:rsidRPr="00A40297" w:rsidRDefault="00F6764A" w:rsidP="00F6764A">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ENPV</w:t>
            </w:r>
          </w:p>
        </w:tc>
        <w:tc>
          <w:tcPr>
            <w:tcW w:w="1006" w:type="dxa"/>
            <w:shd w:val="clear" w:color="000000" w:fill="B8CCE4"/>
            <w:noWrap/>
            <w:vAlign w:val="center"/>
            <w:hideMark/>
          </w:tcPr>
          <w:p w14:paraId="51E448E4" w14:textId="34F04A0C"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3,962</w:t>
            </w:r>
          </w:p>
        </w:tc>
        <w:tc>
          <w:tcPr>
            <w:tcW w:w="851" w:type="dxa"/>
            <w:shd w:val="clear" w:color="000000" w:fill="B8CCE4"/>
            <w:noWrap/>
            <w:vAlign w:val="center"/>
            <w:hideMark/>
          </w:tcPr>
          <w:p w14:paraId="3DCD3D27" w14:textId="4676FF4E" w:rsidR="00F6764A" w:rsidRPr="00A40297" w:rsidRDefault="00F6764A" w:rsidP="00F6764A">
            <w:pPr>
              <w:spacing w:before="0" w:after="0" w:line="240" w:lineRule="auto"/>
              <w:jc w:val="center"/>
              <w:rPr>
                <w:rFonts w:ascii="Calibri" w:hAnsi="Calibri" w:cs="Calibri"/>
                <w:sz w:val="18"/>
                <w:szCs w:val="18"/>
              </w:rPr>
            </w:pPr>
            <w:r w:rsidRPr="00B003EE">
              <w:rPr>
                <w:rFonts w:asciiTheme="minorHAnsi" w:hAnsiTheme="minorHAnsi"/>
                <w:sz w:val="18"/>
                <w:szCs w:val="18"/>
              </w:rPr>
              <w:sym w:font="Symbol" w:char="F044"/>
            </w:r>
            <w:r w:rsidRPr="00A40297">
              <w:rPr>
                <w:rFonts w:ascii="Calibri" w:hAnsi="Calibri" w:cs="Calibri"/>
                <w:sz w:val="18"/>
                <w:szCs w:val="18"/>
              </w:rPr>
              <w:t xml:space="preserve"> B/C</w:t>
            </w:r>
          </w:p>
        </w:tc>
      </w:tr>
      <w:tr w:rsidR="00F6764A" w:rsidRPr="00A40297" w14:paraId="75EB53C8" w14:textId="77777777" w:rsidTr="00F6764A">
        <w:trPr>
          <w:trHeight w:val="240"/>
        </w:trPr>
        <w:tc>
          <w:tcPr>
            <w:tcW w:w="3539" w:type="dxa"/>
            <w:shd w:val="clear" w:color="000000" w:fill="DCE6F1"/>
            <w:noWrap/>
            <w:vAlign w:val="center"/>
            <w:hideMark/>
          </w:tcPr>
          <w:p w14:paraId="44FEDE15"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váženej priemernej sadzby mýta</w:t>
            </w:r>
          </w:p>
        </w:tc>
        <w:tc>
          <w:tcPr>
            <w:tcW w:w="1134" w:type="dxa"/>
            <w:shd w:val="clear" w:color="auto" w:fill="auto"/>
            <w:noWrap/>
            <w:vAlign w:val="center"/>
            <w:hideMark/>
          </w:tcPr>
          <w:p w14:paraId="009A9F8E" w14:textId="5E2D3FE8"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357 332 914</w:t>
            </w:r>
          </w:p>
        </w:tc>
        <w:tc>
          <w:tcPr>
            <w:tcW w:w="851" w:type="dxa"/>
            <w:shd w:val="clear" w:color="auto" w:fill="auto"/>
            <w:noWrap/>
            <w:vAlign w:val="center"/>
            <w:hideMark/>
          </w:tcPr>
          <w:p w14:paraId="46E7A87B" w14:textId="710CE17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403762BB" w14:textId="16318CB6"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796 535 987</w:t>
            </w:r>
          </w:p>
        </w:tc>
        <w:tc>
          <w:tcPr>
            <w:tcW w:w="851" w:type="dxa"/>
            <w:shd w:val="clear" w:color="auto" w:fill="auto"/>
            <w:noWrap/>
            <w:vAlign w:val="center"/>
            <w:hideMark/>
          </w:tcPr>
          <w:p w14:paraId="27D38264" w14:textId="09584F4A"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783E03BA" w14:textId="1BE688D3"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3,961</w:t>
            </w:r>
          </w:p>
        </w:tc>
        <w:tc>
          <w:tcPr>
            <w:tcW w:w="851" w:type="dxa"/>
            <w:shd w:val="clear" w:color="auto" w:fill="auto"/>
            <w:noWrap/>
            <w:vAlign w:val="center"/>
            <w:hideMark/>
          </w:tcPr>
          <w:p w14:paraId="7E21E8C2" w14:textId="0F0D7D93"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48D17388" w14:textId="77777777" w:rsidTr="00F6764A">
        <w:trPr>
          <w:trHeight w:val="240"/>
        </w:trPr>
        <w:tc>
          <w:tcPr>
            <w:tcW w:w="3539" w:type="dxa"/>
            <w:shd w:val="clear" w:color="000000" w:fill="DCE6F1"/>
            <w:noWrap/>
            <w:vAlign w:val="center"/>
            <w:hideMark/>
          </w:tcPr>
          <w:p w14:paraId="5FFA22DB"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Výber mýta - zmena dopravných výkonov</w:t>
            </w:r>
          </w:p>
        </w:tc>
        <w:tc>
          <w:tcPr>
            <w:tcW w:w="1134" w:type="dxa"/>
            <w:shd w:val="clear" w:color="auto" w:fill="auto"/>
            <w:noWrap/>
            <w:vAlign w:val="center"/>
            <w:hideMark/>
          </w:tcPr>
          <w:p w14:paraId="1A180780" w14:textId="13972202"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356 580 703</w:t>
            </w:r>
          </w:p>
        </w:tc>
        <w:tc>
          <w:tcPr>
            <w:tcW w:w="851" w:type="dxa"/>
            <w:shd w:val="clear" w:color="auto" w:fill="auto"/>
            <w:noWrap/>
            <w:vAlign w:val="center"/>
            <w:hideMark/>
          </w:tcPr>
          <w:p w14:paraId="26E4681B" w14:textId="1827E1E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-0,24</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237AACE7" w14:textId="4D13182A"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797 129 827</w:t>
            </w:r>
          </w:p>
        </w:tc>
        <w:tc>
          <w:tcPr>
            <w:tcW w:w="851" w:type="dxa"/>
            <w:shd w:val="clear" w:color="auto" w:fill="auto"/>
            <w:noWrap/>
            <w:vAlign w:val="center"/>
            <w:hideMark/>
          </w:tcPr>
          <w:p w14:paraId="3447CC45" w14:textId="3E60AAC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41744F4E" w14:textId="1D84BBFC"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3,970</w:t>
            </w:r>
          </w:p>
        </w:tc>
        <w:tc>
          <w:tcPr>
            <w:tcW w:w="851" w:type="dxa"/>
            <w:shd w:val="clear" w:color="auto" w:fill="auto"/>
            <w:noWrap/>
            <w:vAlign w:val="center"/>
            <w:hideMark/>
          </w:tcPr>
          <w:p w14:paraId="26132DD1" w14:textId="208D74F1"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0,24</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767CDB8A" w14:textId="77777777" w:rsidTr="00F6764A">
        <w:trPr>
          <w:trHeight w:val="240"/>
        </w:trPr>
        <w:tc>
          <w:tcPr>
            <w:tcW w:w="3539" w:type="dxa"/>
            <w:shd w:val="clear" w:color="000000" w:fill="DCE6F1"/>
            <w:noWrap/>
            <w:vAlign w:val="center"/>
            <w:hideMark/>
          </w:tcPr>
          <w:p w14:paraId="264A029F"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Ročný počet mýtnych transakcií</w:t>
            </w:r>
          </w:p>
        </w:tc>
        <w:tc>
          <w:tcPr>
            <w:tcW w:w="1134" w:type="dxa"/>
            <w:shd w:val="clear" w:color="auto" w:fill="auto"/>
            <w:noWrap/>
            <w:vAlign w:val="center"/>
            <w:hideMark/>
          </w:tcPr>
          <w:p w14:paraId="00535BEB" w14:textId="6DCBFED7"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356 702 968</w:t>
            </w:r>
          </w:p>
        </w:tc>
        <w:tc>
          <w:tcPr>
            <w:tcW w:w="851" w:type="dxa"/>
            <w:shd w:val="clear" w:color="auto" w:fill="auto"/>
            <w:noWrap/>
            <w:vAlign w:val="center"/>
            <w:hideMark/>
          </w:tcPr>
          <w:p w14:paraId="18F9E4CB" w14:textId="4B6B672B"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-0,21</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45CB0FD9" w14:textId="7261C9A4"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797 024 440</w:t>
            </w:r>
          </w:p>
        </w:tc>
        <w:tc>
          <w:tcPr>
            <w:tcW w:w="851" w:type="dxa"/>
            <w:shd w:val="clear" w:color="auto" w:fill="auto"/>
            <w:noWrap/>
            <w:vAlign w:val="center"/>
            <w:hideMark/>
          </w:tcPr>
          <w:p w14:paraId="1A2BC059" w14:textId="55095A90"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0,07</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1B7ECB16" w14:textId="62E41835"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3,969</w:t>
            </w:r>
          </w:p>
        </w:tc>
        <w:tc>
          <w:tcPr>
            <w:tcW w:w="851" w:type="dxa"/>
            <w:shd w:val="clear" w:color="auto" w:fill="auto"/>
            <w:noWrap/>
            <w:vAlign w:val="center"/>
            <w:hideMark/>
          </w:tcPr>
          <w:p w14:paraId="6A41B9AC" w14:textId="5C61682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0,21</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61E58733" w14:textId="77777777" w:rsidTr="00F6764A">
        <w:trPr>
          <w:trHeight w:val="240"/>
        </w:trPr>
        <w:tc>
          <w:tcPr>
            <w:tcW w:w="3539" w:type="dxa"/>
            <w:shd w:val="clear" w:color="000000" w:fill="DCE6F1"/>
            <w:noWrap/>
            <w:vAlign w:val="center"/>
            <w:hideMark/>
          </w:tcPr>
          <w:p w14:paraId="2EFF3817"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PK na platobných transakciách</w:t>
            </w:r>
          </w:p>
        </w:tc>
        <w:tc>
          <w:tcPr>
            <w:tcW w:w="1134" w:type="dxa"/>
            <w:shd w:val="clear" w:color="auto" w:fill="auto"/>
            <w:noWrap/>
            <w:vAlign w:val="center"/>
            <w:hideMark/>
          </w:tcPr>
          <w:p w14:paraId="1017A70C" w14:textId="1FE50186"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357 135 255</w:t>
            </w:r>
          </w:p>
        </w:tc>
        <w:tc>
          <w:tcPr>
            <w:tcW w:w="851" w:type="dxa"/>
            <w:shd w:val="clear" w:color="auto" w:fill="auto"/>
            <w:noWrap/>
            <w:vAlign w:val="center"/>
            <w:hideMark/>
          </w:tcPr>
          <w:p w14:paraId="76701EEB" w14:textId="2D486798"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465F19FA" w14:textId="4DBAEEFC"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796 687 738</w:t>
            </w:r>
          </w:p>
        </w:tc>
        <w:tc>
          <w:tcPr>
            <w:tcW w:w="851" w:type="dxa"/>
            <w:shd w:val="clear" w:color="auto" w:fill="auto"/>
            <w:noWrap/>
            <w:vAlign w:val="center"/>
            <w:hideMark/>
          </w:tcPr>
          <w:p w14:paraId="4974685B" w14:textId="20F3A139"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11D4516A" w14:textId="3D7CC4C6"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3,963</w:t>
            </w:r>
          </w:p>
        </w:tc>
        <w:tc>
          <w:tcPr>
            <w:tcW w:w="851" w:type="dxa"/>
            <w:shd w:val="clear" w:color="auto" w:fill="auto"/>
            <w:noWrap/>
            <w:vAlign w:val="center"/>
            <w:hideMark/>
          </w:tcPr>
          <w:p w14:paraId="194407A2" w14:textId="1DBEB58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0F28EF47" w14:textId="77777777" w:rsidTr="00F6764A">
        <w:trPr>
          <w:trHeight w:val="240"/>
        </w:trPr>
        <w:tc>
          <w:tcPr>
            <w:tcW w:w="3539" w:type="dxa"/>
            <w:shd w:val="clear" w:color="000000" w:fill="DCE6F1"/>
            <w:noWrap/>
            <w:vAlign w:val="center"/>
            <w:hideMark/>
          </w:tcPr>
          <w:p w14:paraId="3D8095F4"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Sadzba odmeny za kartové operácie</w:t>
            </w:r>
          </w:p>
        </w:tc>
        <w:tc>
          <w:tcPr>
            <w:tcW w:w="1134" w:type="dxa"/>
            <w:shd w:val="clear" w:color="auto" w:fill="auto"/>
            <w:noWrap/>
            <w:vAlign w:val="center"/>
            <w:hideMark/>
          </w:tcPr>
          <w:p w14:paraId="09059719" w14:textId="3847982C"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357 257 519</w:t>
            </w:r>
          </w:p>
        </w:tc>
        <w:tc>
          <w:tcPr>
            <w:tcW w:w="851" w:type="dxa"/>
            <w:shd w:val="clear" w:color="auto" w:fill="auto"/>
            <w:noWrap/>
            <w:vAlign w:val="center"/>
            <w:hideMark/>
          </w:tcPr>
          <w:p w14:paraId="36824B50" w14:textId="0FE656CA"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3F8FFC80" w14:textId="129C4E04"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796 582 352</w:t>
            </w:r>
          </w:p>
        </w:tc>
        <w:tc>
          <w:tcPr>
            <w:tcW w:w="851" w:type="dxa"/>
            <w:shd w:val="clear" w:color="auto" w:fill="auto"/>
            <w:noWrap/>
            <w:vAlign w:val="center"/>
            <w:hideMark/>
          </w:tcPr>
          <w:p w14:paraId="11D69C6F" w14:textId="4086FC8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713C114F" w14:textId="15939154"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3,962</w:t>
            </w:r>
          </w:p>
        </w:tc>
        <w:tc>
          <w:tcPr>
            <w:tcW w:w="851" w:type="dxa"/>
            <w:shd w:val="clear" w:color="auto" w:fill="auto"/>
            <w:noWrap/>
            <w:vAlign w:val="center"/>
            <w:hideMark/>
          </w:tcPr>
          <w:p w14:paraId="2870EC60" w14:textId="599A4AB1"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0,06</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2B8F7CFD" w14:textId="77777777" w:rsidTr="00F6764A">
        <w:trPr>
          <w:trHeight w:val="240"/>
        </w:trPr>
        <w:tc>
          <w:tcPr>
            <w:tcW w:w="3539" w:type="dxa"/>
            <w:shd w:val="clear" w:color="000000" w:fill="DCE6F1"/>
            <w:noWrap/>
            <w:vAlign w:val="center"/>
            <w:hideMark/>
          </w:tcPr>
          <w:p w14:paraId="30702673"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Podiel poskytovateľov EETS na výbere mýta</w:t>
            </w:r>
          </w:p>
        </w:tc>
        <w:tc>
          <w:tcPr>
            <w:tcW w:w="1134" w:type="dxa"/>
            <w:shd w:val="clear" w:color="auto" w:fill="auto"/>
            <w:noWrap/>
            <w:vAlign w:val="center"/>
            <w:hideMark/>
          </w:tcPr>
          <w:p w14:paraId="597FD155" w14:textId="0F30445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357 403 646</w:t>
            </w:r>
          </w:p>
        </w:tc>
        <w:tc>
          <w:tcPr>
            <w:tcW w:w="851" w:type="dxa"/>
            <w:shd w:val="clear" w:color="auto" w:fill="auto"/>
            <w:noWrap/>
            <w:vAlign w:val="center"/>
            <w:hideMark/>
          </w:tcPr>
          <w:p w14:paraId="178E95A1" w14:textId="691BBC2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-0,01</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540EFC9B" w14:textId="680F2FDD"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796 469 126</w:t>
            </w:r>
          </w:p>
        </w:tc>
        <w:tc>
          <w:tcPr>
            <w:tcW w:w="851" w:type="dxa"/>
            <w:shd w:val="clear" w:color="auto" w:fill="auto"/>
            <w:noWrap/>
            <w:vAlign w:val="center"/>
            <w:hideMark/>
          </w:tcPr>
          <w:p w14:paraId="5DFDAC36" w14:textId="57619D55"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67C46EA7" w14:textId="56DD9C92"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3,961</w:t>
            </w:r>
          </w:p>
        </w:tc>
        <w:tc>
          <w:tcPr>
            <w:tcW w:w="851" w:type="dxa"/>
            <w:shd w:val="clear" w:color="auto" w:fill="auto"/>
            <w:noWrap/>
            <w:vAlign w:val="center"/>
            <w:hideMark/>
          </w:tcPr>
          <w:p w14:paraId="75D5F11B" w14:textId="676BF1A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0,02</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3ED77BEC" w14:textId="77777777" w:rsidTr="00F6764A">
        <w:trPr>
          <w:trHeight w:val="240"/>
        </w:trPr>
        <w:tc>
          <w:tcPr>
            <w:tcW w:w="3539" w:type="dxa"/>
            <w:shd w:val="clear" w:color="000000" w:fill="DCE6F1"/>
            <w:noWrap/>
            <w:vAlign w:val="center"/>
            <w:hideMark/>
          </w:tcPr>
          <w:p w14:paraId="3ABACA35"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Sadzba odmeny poskytovateľov EETS (brutto)</w:t>
            </w:r>
          </w:p>
        </w:tc>
        <w:tc>
          <w:tcPr>
            <w:tcW w:w="1134" w:type="dxa"/>
            <w:shd w:val="clear" w:color="auto" w:fill="auto"/>
            <w:noWrap/>
            <w:vAlign w:val="center"/>
            <w:hideMark/>
          </w:tcPr>
          <w:p w14:paraId="2AEC13FE" w14:textId="3323666B"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357 141 705</w:t>
            </w:r>
          </w:p>
        </w:tc>
        <w:tc>
          <w:tcPr>
            <w:tcW w:w="851" w:type="dxa"/>
            <w:shd w:val="clear" w:color="auto" w:fill="auto"/>
            <w:noWrap/>
            <w:vAlign w:val="center"/>
            <w:hideMark/>
          </w:tcPr>
          <w:p w14:paraId="3DC7CEB7" w14:textId="61D5B0C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35521B59" w14:textId="5DECA38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796 666 420</w:t>
            </w:r>
          </w:p>
        </w:tc>
        <w:tc>
          <w:tcPr>
            <w:tcW w:w="851" w:type="dxa"/>
            <w:shd w:val="clear" w:color="auto" w:fill="auto"/>
            <w:noWrap/>
            <w:vAlign w:val="center"/>
            <w:hideMark/>
          </w:tcPr>
          <w:p w14:paraId="29EFE925" w14:textId="4E9910FD"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0,03</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73CFF2AD" w14:textId="612D9279"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3,964</w:t>
            </w:r>
          </w:p>
        </w:tc>
        <w:tc>
          <w:tcPr>
            <w:tcW w:w="851" w:type="dxa"/>
            <w:shd w:val="clear" w:color="auto" w:fill="auto"/>
            <w:noWrap/>
            <w:vAlign w:val="center"/>
            <w:hideMark/>
          </w:tcPr>
          <w:p w14:paraId="0B9DC692" w14:textId="66ADCAE7"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0,09</w:t>
            </w:r>
            <w:r>
              <w:rPr>
                <w:rFonts w:ascii="Calibri" w:hAnsi="Calibri" w:cs="Calibri"/>
                <w:sz w:val="18"/>
                <w:szCs w:val="18"/>
              </w:rPr>
              <w:t xml:space="preserve"> </w:t>
            </w:r>
            <w:r w:rsidRPr="00A40297">
              <w:rPr>
                <w:rFonts w:ascii="Calibri" w:hAnsi="Calibri" w:cs="Calibri"/>
                <w:sz w:val="18"/>
                <w:szCs w:val="18"/>
              </w:rPr>
              <w:t>%</w:t>
            </w:r>
          </w:p>
        </w:tc>
      </w:tr>
      <w:tr w:rsidR="00F6764A" w:rsidRPr="00A40297" w14:paraId="0E0E7E24" w14:textId="77777777" w:rsidTr="00F6764A">
        <w:trPr>
          <w:trHeight w:val="240"/>
        </w:trPr>
        <w:tc>
          <w:tcPr>
            <w:tcW w:w="3539" w:type="dxa"/>
            <w:shd w:val="clear" w:color="000000" w:fill="DCE6F1"/>
            <w:noWrap/>
            <w:vAlign w:val="center"/>
            <w:hideMark/>
          </w:tcPr>
          <w:p w14:paraId="6BB9DF01" w14:textId="77777777" w:rsidR="00F6764A" w:rsidRPr="00A40297" w:rsidRDefault="00F6764A" w:rsidP="00F6764A">
            <w:pPr>
              <w:spacing w:before="0" w:after="0" w:line="240" w:lineRule="auto"/>
              <w:jc w:val="left"/>
              <w:rPr>
                <w:rFonts w:ascii="Calibri" w:hAnsi="Calibri" w:cs="Calibri"/>
                <w:sz w:val="18"/>
                <w:szCs w:val="18"/>
              </w:rPr>
            </w:pPr>
            <w:r w:rsidRPr="00A40297">
              <w:rPr>
                <w:rFonts w:ascii="Calibri" w:hAnsi="Calibri" w:cs="Calibri"/>
                <w:sz w:val="18"/>
                <w:szCs w:val="18"/>
              </w:rPr>
              <w:t>Zmena ceny realizácie a prevádzky CR-00190</w:t>
            </w:r>
          </w:p>
        </w:tc>
        <w:tc>
          <w:tcPr>
            <w:tcW w:w="1134" w:type="dxa"/>
            <w:shd w:val="clear" w:color="auto" w:fill="auto"/>
            <w:noWrap/>
            <w:vAlign w:val="center"/>
            <w:hideMark/>
          </w:tcPr>
          <w:p w14:paraId="54AD1423" w14:textId="2AC72C38"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357 453 976</w:t>
            </w:r>
          </w:p>
        </w:tc>
        <w:tc>
          <w:tcPr>
            <w:tcW w:w="851" w:type="dxa"/>
            <w:shd w:val="clear" w:color="auto" w:fill="auto"/>
            <w:noWrap/>
            <w:vAlign w:val="center"/>
            <w:hideMark/>
          </w:tcPr>
          <w:p w14:paraId="0EEA566A" w14:textId="069444FC"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1275" w:type="dxa"/>
            <w:shd w:val="clear" w:color="auto" w:fill="auto"/>
            <w:noWrap/>
            <w:vAlign w:val="center"/>
            <w:hideMark/>
          </w:tcPr>
          <w:p w14:paraId="4F01CFDD" w14:textId="01272841" w:rsidR="00F6764A" w:rsidRPr="00A40297" w:rsidRDefault="00F6764A" w:rsidP="00F6764A">
            <w:pPr>
              <w:spacing w:before="0" w:after="0" w:line="240" w:lineRule="auto"/>
              <w:jc w:val="right"/>
              <w:rPr>
                <w:rFonts w:ascii="Calibri" w:hAnsi="Calibri" w:cs="Calibri"/>
                <w:sz w:val="18"/>
                <w:szCs w:val="18"/>
              </w:rPr>
            </w:pPr>
            <w:r w:rsidRPr="0083643B">
              <w:rPr>
                <w:rFonts w:ascii="Calibri" w:hAnsi="Calibri" w:cs="Calibri"/>
                <w:sz w:val="18"/>
                <w:szCs w:val="18"/>
              </w:rPr>
              <w:t>796 440 488</w:t>
            </w:r>
          </w:p>
        </w:tc>
        <w:tc>
          <w:tcPr>
            <w:tcW w:w="851" w:type="dxa"/>
            <w:shd w:val="clear" w:color="auto" w:fill="auto"/>
            <w:noWrap/>
            <w:vAlign w:val="center"/>
            <w:hideMark/>
          </w:tcPr>
          <w:p w14:paraId="13902356" w14:textId="397836AE"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c>
          <w:tcPr>
            <w:tcW w:w="1006" w:type="dxa"/>
            <w:shd w:val="clear" w:color="auto" w:fill="auto"/>
            <w:noWrap/>
            <w:vAlign w:val="center"/>
            <w:hideMark/>
          </w:tcPr>
          <w:p w14:paraId="1BA849C0" w14:textId="53D68428" w:rsidR="00F6764A" w:rsidRPr="00A40297" w:rsidRDefault="00F6764A" w:rsidP="00F6764A">
            <w:pPr>
              <w:spacing w:before="0" w:after="0" w:line="240" w:lineRule="auto"/>
              <w:jc w:val="right"/>
              <w:rPr>
                <w:rFonts w:ascii="Calibri" w:hAnsi="Calibri" w:cs="Calibri"/>
                <w:sz w:val="18"/>
                <w:szCs w:val="18"/>
              </w:rPr>
            </w:pPr>
            <w:r>
              <w:rPr>
                <w:rFonts w:ascii="Calibri" w:hAnsi="Calibri" w:cs="Calibri"/>
                <w:szCs w:val="20"/>
              </w:rPr>
              <w:t>3,960</w:t>
            </w:r>
          </w:p>
        </w:tc>
        <w:tc>
          <w:tcPr>
            <w:tcW w:w="851" w:type="dxa"/>
            <w:shd w:val="clear" w:color="auto" w:fill="auto"/>
            <w:noWrap/>
            <w:vAlign w:val="center"/>
            <w:hideMark/>
          </w:tcPr>
          <w:p w14:paraId="2222045F" w14:textId="1E4A4834" w:rsidR="00F6764A" w:rsidRPr="00A40297" w:rsidRDefault="00F6764A" w:rsidP="00F6764A">
            <w:pPr>
              <w:spacing w:before="0" w:after="0" w:line="240" w:lineRule="auto"/>
              <w:jc w:val="right"/>
              <w:rPr>
                <w:rFonts w:ascii="Calibri" w:hAnsi="Calibri" w:cs="Calibri"/>
                <w:sz w:val="18"/>
                <w:szCs w:val="18"/>
              </w:rPr>
            </w:pPr>
            <w:r w:rsidRPr="00A40297">
              <w:rPr>
                <w:rFonts w:ascii="Calibri" w:hAnsi="Calibri" w:cs="Calibri"/>
                <w:sz w:val="18"/>
                <w:szCs w:val="18"/>
              </w:rPr>
              <w:t>0,00</w:t>
            </w:r>
            <w:r>
              <w:rPr>
                <w:rFonts w:ascii="Calibri" w:hAnsi="Calibri" w:cs="Calibri"/>
                <w:sz w:val="18"/>
                <w:szCs w:val="18"/>
              </w:rPr>
              <w:t xml:space="preserve"> </w:t>
            </w:r>
            <w:r w:rsidRPr="00A40297">
              <w:rPr>
                <w:rFonts w:ascii="Calibri" w:hAnsi="Calibri" w:cs="Calibri"/>
                <w:sz w:val="18"/>
                <w:szCs w:val="18"/>
              </w:rPr>
              <w:t>%</w:t>
            </w:r>
          </w:p>
        </w:tc>
      </w:tr>
    </w:tbl>
    <w:p w14:paraId="0B66CE74" w14:textId="313A77B1" w:rsidR="005A7D49" w:rsidRDefault="005A7D49" w:rsidP="005A7D49">
      <w:pPr>
        <w:rPr>
          <w:i/>
          <w:sz w:val="16"/>
        </w:rPr>
      </w:pPr>
      <w:r w:rsidRPr="00DA4343">
        <w:rPr>
          <w:i/>
          <w:sz w:val="16"/>
        </w:rPr>
        <w:t xml:space="preserve">Zdroj: Príloha </w:t>
      </w:r>
      <w:r w:rsidR="00810817">
        <w:rPr>
          <w:i/>
          <w:sz w:val="16"/>
        </w:rPr>
        <w:t>2</w:t>
      </w:r>
      <w:r w:rsidRPr="00DA4343">
        <w:rPr>
          <w:i/>
          <w:sz w:val="16"/>
        </w:rPr>
        <w:t xml:space="preserve">, hárok </w:t>
      </w:r>
      <w:r>
        <w:rPr>
          <w:i/>
          <w:sz w:val="16"/>
        </w:rPr>
        <w:t>12</w:t>
      </w:r>
    </w:p>
    <w:p w14:paraId="28B5F8F4" w14:textId="2E7E65A4" w:rsidR="004C5A5B" w:rsidRDefault="004C5A5B" w:rsidP="005A7D49">
      <w:pPr>
        <w:pStyle w:val="BodyText"/>
        <w:keepNext/>
      </w:pPr>
      <w:r>
        <w:rPr>
          <w:noProof/>
          <w:lang w:val="cs-CZ"/>
        </w:rPr>
        <w:drawing>
          <wp:inline distT="0" distB="0" distL="0" distR="0" wp14:anchorId="5B54BF6F" wp14:editId="1661AA68">
            <wp:extent cx="5873649" cy="24610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683" cy="2468204"/>
                    </a:xfrm>
                    <a:prstGeom prst="rect">
                      <a:avLst/>
                    </a:prstGeom>
                    <a:noFill/>
                  </pic:spPr>
                </pic:pic>
              </a:graphicData>
            </a:graphic>
          </wp:inline>
        </w:drawing>
      </w:r>
    </w:p>
    <w:p w14:paraId="6CEF194C" w14:textId="18430FB6" w:rsidR="005A7D49" w:rsidRDefault="005A7D49" w:rsidP="005A7D49">
      <w:pPr>
        <w:pStyle w:val="Caption"/>
      </w:pPr>
      <w:r>
        <w:t xml:space="preserve">Obr. </w:t>
      </w:r>
      <w:r>
        <w:fldChar w:fldCharType="begin"/>
      </w:r>
      <w:r>
        <w:instrText xml:space="preserve"> SEQ Obr. \* ARABIC </w:instrText>
      </w:r>
      <w:r>
        <w:fldChar w:fldCharType="separate"/>
      </w:r>
      <w:r w:rsidR="00A86720">
        <w:rPr>
          <w:noProof/>
        </w:rPr>
        <w:t>9</w:t>
      </w:r>
      <w:r>
        <w:fldChar w:fldCharType="end"/>
      </w:r>
      <w:r>
        <w:t xml:space="preserve"> - Porovnanie výsledkov citlivostnej analýzy, ukazovateľ celkové náklady projektu (TCO)</w:t>
      </w:r>
    </w:p>
    <w:p w14:paraId="2BAA77FD" w14:textId="77777777" w:rsidR="005A7D49" w:rsidRDefault="005A7D49" w:rsidP="005A7D49"/>
    <w:p w14:paraId="6A6A229A" w14:textId="420E205E" w:rsidR="004C5A5B" w:rsidRDefault="004C5A5B" w:rsidP="005A7D49">
      <w:pPr>
        <w:keepNext/>
      </w:pPr>
      <w:r>
        <w:rPr>
          <w:noProof/>
          <w:lang w:val="cs-CZ"/>
        </w:rPr>
        <w:lastRenderedPageBreak/>
        <w:drawing>
          <wp:inline distT="0" distB="0" distL="0" distR="0" wp14:anchorId="37E3849A" wp14:editId="7E85393B">
            <wp:extent cx="5844388" cy="2448806"/>
            <wp:effectExtent l="0" t="0" r="444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3994" cy="2457021"/>
                    </a:xfrm>
                    <a:prstGeom prst="rect">
                      <a:avLst/>
                    </a:prstGeom>
                    <a:noFill/>
                  </pic:spPr>
                </pic:pic>
              </a:graphicData>
            </a:graphic>
          </wp:inline>
        </w:drawing>
      </w:r>
    </w:p>
    <w:p w14:paraId="70086B63" w14:textId="5FBE8997" w:rsidR="005A7D49" w:rsidRPr="00383CB8" w:rsidRDefault="005A7D49" w:rsidP="005A7D49">
      <w:pPr>
        <w:pStyle w:val="Caption"/>
      </w:pPr>
      <w:r>
        <w:t xml:space="preserve">Obr. </w:t>
      </w:r>
      <w:r>
        <w:fldChar w:fldCharType="begin"/>
      </w:r>
      <w:r>
        <w:instrText xml:space="preserve"> SEQ Obr. \* ARABIC </w:instrText>
      </w:r>
      <w:r>
        <w:fldChar w:fldCharType="separate"/>
      </w:r>
      <w:r w:rsidR="00A86720">
        <w:rPr>
          <w:noProof/>
        </w:rPr>
        <w:t>10</w:t>
      </w:r>
      <w:r>
        <w:fldChar w:fldCharType="end"/>
      </w:r>
      <w:r>
        <w:t xml:space="preserve"> - Porovnanie výsledkov citlivostnej analýzy, ukazovateľ ekonomická čistá súčasná hodnota (ENPV)</w:t>
      </w:r>
    </w:p>
    <w:p w14:paraId="0E0CA570" w14:textId="77777777" w:rsidR="005A7D49" w:rsidRDefault="005A7D49" w:rsidP="005A7D49">
      <w:pPr>
        <w:rPr>
          <w:i/>
          <w:sz w:val="16"/>
        </w:rPr>
      </w:pPr>
    </w:p>
    <w:p w14:paraId="16335F87" w14:textId="77777777" w:rsidR="005A7D49" w:rsidRDefault="005A7D49" w:rsidP="005A7D49">
      <w:pPr>
        <w:keepNext/>
      </w:pPr>
    </w:p>
    <w:p w14:paraId="792EBB19" w14:textId="32FC942F" w:rsidR="004C5A5B" w:rsidRDefault="004C5A5B" w:rsidP="005A7D49">
      <w:pPr>
        <w:keepNext/>
      </w:pPr>
      <w:r>
        <w:rPr>
          <w:noProof/>
          <w:lang w:val="cs-CZ"/>
        </w:rPr>
        <w:drawing>
          <wp:inline distT="0" distB="0" distL="0" distR="0" wp14:anchorId="572C62CB" wp14:editId="2CC6DC30">
            <wp:extent cx="5932170" cy="24855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9095" cy="2492679"/>
                    </a:xfrm>
                    <a:prstGeom prst="rect">
                      <a:avLst/>
                    </a:prstGeom>
                    <a:noFill/>
                  </pic:spPr>
                </pic:pic>
              </a:graphicData>
            </a:graphic>
          </wp:inline>
        </w:drawing>
      </w:r>
    </w:p>
    <w:p w14:paraId="1A13FCC1" w14:textId="2BB142D8" w:rsidR="005A7D49" w:rsidRDefault="005A7D49" w:rsidP="005A7D49">
      <w:pPr>
        <w:pStyle w:val="Caption"/>
      </w:pPr>
      <w:r>
        <w:t xml:space="preserve">Obr. </w:t>
      </w:r>
      <w:r>
        <w:fldChar w:fldCharType="begin"/>
      </w:r>
      <w:r>
        <w:instrText xml:space="preserve"> SEQ Obr. \* ARABIC </w:instrText>
      </w:r>
      <w:r>
        <w:fldChar w:fldCharType="separate"/>
      </w:r>
      <w:r w:rsidR="00A86720">
        <w:rPr>
          <w:noProof/>
        </w:rPr>
        <w:t>11</w:t>
      </w:r>
      <w:r>
        <w:fldChar w:fldCharType="end"/>
      </w:r>
      <w:r>
        <w:t xml:space="preserve"> - Porovnanie výsledkov citlivostnej analýzy, ukazovateľ nákladovej efektívnosti projektu (B/C)</w:t>
      </w:r>
    </w:p>
    <w:p w14:paraId="0BD42885" w14:textId="77777777" w:rsidR="005A7D49" w:rsidRDefault="005A7D49" w:rsidP="005A7D49"/>
    <w:p w14:paraId="12FB4BEB" w14:textId="7C3FB0FC" w:rsidR="005A7D49" w:rsidRDefault="005A7D49" w:rsidP="005A7D49"/>
    <w:p w14:paraId="0DB43B11" w14:textId="79485EBA" w:rsidR="009D5ABF" w:rsidRDefault="009D5ABF" w:rsidP="00A40297">
      <w:pPr>
        <w:pStyle w:val="Heading2"/>
      </w:pPr>
      <w:bookmarkStart w:id="226" w:name="_Toc87348774"/>
      <w:r>
        <w:t>Zhrnutie výsledkov citlivostnej analýzy</w:t>
      </w:r>
      <w:bookmarkEnd w:id="226"/>
    </w:p>
    <w:p w14:paraId="66CBDB81" w14:textId="4A5E1BE7" w:rsidR="00877A79" w:rsidRDefault="00877A79" w:rsidP="00877A79">
      <w:r>
        <w:t xml:space="preserve">Ekonomický model vo variante 1 </w:t>
      </w:r>
      <w:r w:rsidR="00532C7C">
        <w:t xml:space="preserve">vo zvýšenej miere </w:t>
      </w:r>
      <w:r>
        <w:t>reaguje na zmeny výnosov z výberu mýta v dôsledku zmeny váženej priemernej sadzby mýta a/alebo zmeny ročných dopravných výkonov. Zmena vstupných parametrov o +/- 1 % vyvolá odozvu – zmenu ekonomickej čistej súčasnej hodnoty projektu o viac ako 1</w:t>
      </w:r>
      <w:r w:rsidR="00532C7C">
        <w:t> </w:t>
      </w:r>
      <w:r>
        <w:t>%, konkrétne o +/-1,</w:t>
      </w:r>
      <w:r w:rsidR="00726B8F">
        <w:t xml:space="preserve">35 </w:t>
      </w:r>
      <w:r>
        <w:t xml:space="preserve">% v prípade zmeny váženej priemernej sadzby mýta. Navrhnutý dodávateľský model a spôsob stanovenia odmeny za služby poskytovateľov EETS na základe ocenenia kvantity nimi spracovaných mýtnych transakcií nie je možné z pohľadu stability ekonomických ukazovateľov považovať za najvhodnejšie riešenie. </w:t>
      </w:r>
    </w:p>
    <w:p w14:paraId="7BD0F4E8" w14:textId="324D4284" w:rsidR="00877A79" w:rsidRDefault="00877A79" w:rsidP="00877A79">
      <w:r>
        <w:t>Navrhnutý</w:t>
      </w:r>
      <w:r w:rsidRPr="00A40297">
        <w:t xml:space="preserve"> ekonomický model a model financovania projektu vo variante 2 je veľmi málo citlivý na zmenu vstupných parametrov. Projekt vykazuje najvyššiu citlivosť na zmenu ročných dopravných výkonov na spoplatnených VÚC, ktorá sa odráža v sume vybraného mýta na strane príjmov a ročnom objeme spracovaných mýtnych transakcií </w:t>
      </w:r>
      <w:r w:rsidR="00532C7C">
        <w:t>n</w:t>
      </w:r>
      <w:r w:rsidRPr="00A40297">
        <w:t xml:space="preserve">a strane výdavkov. Zmena celkového objemu vybraného mýta v dôsledku zmeny dopravných výkonov o +/- 1 % vyvolá zmenu ekonomickej čistej súčasnej hodnoty iba </w:t>
      </w:r>
      <w:r w:rsidRPr="00A40297">
        <w:lastRenderedPageBreak/>
        <w:t>o +/- 0,</w:t>
      </w:r>
      <w:r w:rsidR="00726B8F" w:rsidRPr="00A40297">
        <w:t>0</w:t>
      </w:r>
      <w:r w:rsidR="00726B8F">
        <w:t>9</w:t>
      </w:r>
      <w:r w:rsidR="00726B8F" w:rsidRPr="00A40297">
        <w:t xml:space="preserve"> </w:t>
      </w:r>
      <w:r w:rsidRPr="00A40297">
        <w:t xml:space="preserve">%. Zmena dopravných výkonov sa </w:t>
      </w:r>
      <w:r w:rsidR="00A25268">
        <w:t xml:space="preserve">v </w:t>
      </w:r>
      <w:r w:rsidRPr="00A40297">
        <w:t xml:space="preserve">najvyššej miere premietne do zmeny celkových </w:t>
      </w:r>
      <w:r>
        <w:t xml:space="preserve">päťročných </w:t>
      </w:r>
      <w:r w:rsidRPr="00A40297">
        <w:t>nákladov projektu, a to o +/- 0,24 %</w:t>
      </w:r>
      <w:r>
        <w:t>.</w:t>
      </w:r>
    </w:p>
    <w:p w14:paraId="39684297" w14:textId="396F6078" w:rsidR="00877A79" w:rsidRDefault="00877A79" w:rsidP="00877A79">
      <w:r>
        <w:t xml:space="preserve">Na základe výsledkov citlivostnej analýzy je možné konštatovať, že model financovania vo variante 2 s podielom poskytovateľov EETS na nákladoch </w:t>
      </w:r>
      <w:r w:rsidR="00B324B6">
        <w:t>Správc</w:t>
      </w:r>
      <w:r>
        <w:t>u výberu mýta na zabezpečenie prevádzky rozhrania EETS je stabilný a</w:t>
      </w:r>
      <w:r w:rsidR="0004629C">
        <w:t> preto vhodnejší na realizáciu z pohľadu stability dosahovaných ekonomických parametrov projektu. Variant 1 je z tohto pohľadu nestabilný, zmena kľúčových vstupných parametrov vyvolá zosilnenú odozvu na výstup</w:t>
      </w:r>
      <w:r w:rsidR="00A25268">
        <w:t>e</w:t>
      </w:r>
      <w:r w:rsidR="0004629C">
        <w:t xml:space="preserve">. </w:t>
      </w:r>
      <w:r>
        <w:t xml:space="preserve"> </w:t>
      </w:r>
    </w:p>
    <w:p w14:paraId="79F67DCD" w14:textId="3EF6D7B8" w:rsidR="004F00B4" w:rsidRDefault="004F00B4">
      <w:pPr>
        <w:spacing w:before="0" w:after="0" w:line="240" w:lineRule="auto"/>
        <w:jc w:val="left"/>
      </w:pPr>
    </w:p>
    <w:p w14:paraId="17CD2593" w14:textId="4D1D1DA0" w:rsidR="004C1394" w:rsidRDefault="004C1394">
      <w:pPr>
        <w:spacing w:before="0" w:after="0" w:line="240" w:lineRule="auto"/>
        <w:jc w:val="left"/>
      </w:pPr>
      <w:r>
        <w:br w:type="page"/>
      </w:r>
    </w:p>
    <w:p w14:paraId="7BAF3B1E" w14:textId="2F2CCE43" w:rsidR="005A7D49" w:rsidRDefault="005A7D49" w:rsidP="00A40297">
      <w:pPr>
        <w:pStyle w:val="Heading1"/>
      </w:pPr>
      <w:bookmarkStart w:id="227" w:name="_Toc87348775"/>
      <w:r>
        <w:lastRenderedPageBreak/>
        <w:t>Závery</w:t>
      </w:r>
      <w:bookmarkEnd w:id="227"/>
    </w:p>
    <w:p w14:paraId="2516C2DA" w14:textId="24006A79" w:rsidR="00D16615" w:rsidRDefault="0004629C" w:rsidP="00A40297">
      <w:r>
        <w:t>Predmetom analýzy je návrh uskutočnenia zmeny Komplexnej služby elektronického výberu mýta za účelom vytvorenia rozhrania EETS, rozšírenia existujúceho mýtneho systém</w:t>
      </w:r>
      <w:r w:rsidR="005318BD">
        <w:t>u</w:t>
      </w:r>
      <w:r>
        <w:t xml:space="preserve"> SkyToll a výkon</w:t>
      </w:r>
      <w:r w:rsidR="005318BD">
        <w:t>u</w:t>
      </w:r>
      <w:r>
        <w:t xml:space="preserve"> služieb spojených so zabezpečením biznis procesov EETS. Projekt počíta s tým, že vybudovan</w:t>
      </w:r>
      <w:r w:rsidR="00D16615">
        <w:t xml:space="preserve">ý </w:t>
      </w:r>
      <w:r w:rsidR="0058252B">
        <w:t xml:space="preserve">subsystém  </w:t>
      </w:r>
      <w:r w:rsidR="00D16615">
        <w:t>„R</w:t>
      </w:r>
      <w:r>
        <w:t>ozhranie EETS</w:t>
      </w:r>
      <w:r w:rsidR="00D16615">
        <w:t>“</w:t>
      </w:r>
      <w:r>
        <w:t xml:space="preserve"> bude od Komplexnej služby elektronického výberu mýta oddelen</w:t>
      </w:r>
      <w:r w:rsidR="00D16615">
        <w:t>ý</w:t>
      </w:r>
      <w:r>
        <w:t xml:space="preserve"> a odovzdan</w:t>
      </w:r>
      <w:r w:rsidR="00D16615">
        <w:t>ý</w:t>
      </w:r>
      <w:r>
        <w:t xml:space="preserve"> do majetku NDS</w:t>
      </w:r>
      <w:r w:rsidR="00D16615">
        <w:t xml:space="preserve">. Predmetný </w:t>
      </w:r>
      <w:r w:rsidR="0058252B">
        <w:t xml:space="preserve">subsystém </w:t>
      </w:r>
      <w:r w:rsidR="00D16615">
        <w:t>môže byť po ukončení Zmluvy ETC a poskytovaní služieb SkyToll prevádzkovaný ďalej vlastnými silami NDS. Celý projekt je pripravovaný ako záložné riešenie pre prípad, že nov</w:t>
      </w:r>
      <w:r w:rsidR="005318BD">
        <w:t>o</w:t>
      </w:r>
      <w:r w:rsidR="00D16615">
        <w:t xml:space="preserve"> realizovaný projekt „Vybudovanie Elektronického mýtneho systému a poskytovanie Služieb technickej podpory“ nebude dokončený včas a bude nutné zabezpečiť výber mýta predlžením služieb SkyToll na nevyhnutne nutnú dobu.</w:t>
      </w:r>
    </w:p>
    <w:p w14:paraId="6C39FAC4" w14:textId="194E6DB9" w:rsidR="00D16615" w:rsidRDefault="00D16615" w:rsidP="00A40297">
      <w:r>
        <w:t>Štúdia uskutočniteľnosti navrhuje dva varianty riešenia ekonomického modelu a financovania projektu:</w:t>
      </w:r>
    </w:p>
    <w:p w14:paraId="64F1AC17" w14:textId="3D425DA3" w:rsidR="0004629C" w:rsidRDefault="00D16615" w:rsidP="00480B97">
      <w:pPr>
        <w:pStyle w:val="ListParagraph"/>
        <w:numPr>
          <w:ilvl w:val="0"/>
          <w:numId w:val="38"/>
        </w:numPr>
      </w:pPr>
      <w:r>
        <w:t>Variant 1 – odmena poskytovateľov EETS je založená na počte nimi spracovaných mýtnych transakcií a</w:t>
      </w:r>
      <w:r w:rsidR="00656FBD">
        <w:t xml:space="preserve"> je </w:t>
      </w:r>
      <w:r>
        <w:t>stanovená na základe jednotkovej ceny za mýtnu transakciu, ktorá bude rovnaká ako cena za 1 mýtnu transakciu dohodnutá v Zmluve ETC, pričom náklady na vybudovanie a prevádzku projektu v plnom rozsahu znáša NDS</w:t>
      </w:r>
      <w:r w:rsidR="00656FBD">
        <w:t>, a tieto náklady premietne ako oprávnený náklad do výpočtu sadzieb mýta</w:t>
      </w:r>
      <w:r w:rsidR="00CC306C">
        <w:t>.</w:t>
      </w:r>
    </w:p>
    <w:p w14:paraId="2B06E884" w14:textId="1150738D" w:rsidR="00D16615" w:rsidRDefault="00D16615" w:rsidP="00480B97">
      <w:pPr>
        <w:pStyle w:val="ListParagraph"/>
        <w:numPr>
          <w:ilvl w:val="0"/>
          <w:numId w:val="38"/>
        </w:numPr>
      </w:pPr>
      <w:r>
        <w:t>Varian</w:t>
      </w:r>
      <w:r w:rsidR="00656FBD">
        <w:t xml:space="preserve">t 2 – odmena poskytovateľov EETS je založená na peňažnom objeme nimi vybraného mýta a je stanovená percentuálnym podielom z vybraného mýta s použitím jednotnej, úradne stanovenej sadzby percentuálnej odmeny. Od odmeny poskytovateľov EETS sa v súlade so Smernicou odpočíta stanovený poplatok na pokrytie nákladov </w:t>
      </w:r>
      <w:r w:rsidR="00B324B6">
        <w:t>Správc</w:t>
      </w:r>
      <w:r w:rsidR="00656FBD">
        <w:t xml:space="preserve">u výberu mýta na EETS. Na základe vykonaného rozboru v čl. </w:t>
      </w:r>
      <w:r w:rsidR="00656FBD">
        <w:fldChar w:fldCharType="begin"/>
      </w:r>
      <w:r w:rsidR="00656FBD">
        <w:instrText xml:space="preserve"> REF _Ref74316802 \r \p \h </w:instrText>
      </w:r>
      <w:r w:rsidR="00656FBD">
        <w:fldChar w:fldCharType="separate"/>
      </w:r>
      <w:r w:rsidR="00A86720">
        <w:t>4.3.2.1 vyššie</w:t>
      </w:r>
      <w:r w:rsidR="00656FBD">
        <w:fldChar w:fldCharType="end"/>
      </w:r>
      <w:r w:rsidR="00656FBD">
        <w:t xml:space="preserve"> </w:t>
      </w:r>
      <w:r w:rsidR="000A0729">
        <w:t>bola maximálna odporúčaná sadzba odmeny poskytovateľov EETS po odrátaní nákladov na EETS navrhnutá ako 6,0 % z vybraného mýta</w:t>
      </w:r>
      <w:r w:rsidR="00656FBD">
        <w:t xml:space="preserve">.  </w:t>
      </w:r>
    </w:p>
    <w:p w14:paraId="5B383519" w14:textId="566D9A33" w:rsidR="00CC306C" w:rsidRDefault="00CC306C" w:rsidP="00A40297">
      <w:r>
        <w:t xml:space="preserve">Oba posudzované varianty vykazujú veľmi malé vzájomné odchýlky výsledných ekonomických parametrov (menej ako </w:t>
      </w:r>
      <w:r w:rsidR="00726B8F">
        <w:t>0,</w:t>
      </w:r>
      <w:r w:rsidR="000A0729">
        <w:t xml:space="preserve">5 </w:t>
      </w:r>
      <w:r w:rsidR="00726B8F">
        <w:t>% pri porovnaní ekonomickej čistej súčasnej hodnoty investície</w:t>
      </w:r>
      <w:r>
        <w:t>). Na základe ekonomickej a finančnej analýzy nie je možné úplne jednoznačne rozhodnúť o výhodnosti toho ktorého variantu.</w:t>
      </w:r>
    </w:p>
    <w:p w14:paraId="5898FBCA" w14:textId="77777777" w:rsidR="00CC306C" w:rsidRDefault="00CC306C" w:rsidP="00A40297">
      <w:r>
        <w:t>Z pohľadu nastavenia rovných podmienok a dostatočne silného motivačného rámca pre poskytovateľov EETS je vhodnejší realizovať projekt vo variante 2.</w:t>
      </w:r>
    </w:p>
    <w:p w14:paraId="70566A58" w14:textId="77777777" w:rsidR="00CC306C" w:rsidRDefault="00CC306C" w:rsidP="00A40297">
      <w:r>
        <w:t>Z pohľadu rizík projektu sú oba varianty rovnocenné.</w:t>
      </w:r>
    </w:p>
    <w:p w14:paraId="4F882AC6" w14:textId="14C4671E" w:rsidR="00CC306C" w:rsidRPr="00C81C52" w:rsidRDefault="00CC306C" w:rsidP="00A40297">
      <w:r>
        <w:t>Analýza citlivosti preukázala, že variant 1 je ekonomicky nestabilný v reakcii na zmeny dopravných výkonov a zmeny váženej priemernej sadzby mýta. Zmena váženej priemernej sadzby mýta o 1 % na vstupe vyvolá zmenu ekonomickej čistej súčasnej hodnoty o 1,</w:t>
      </w:r>
      <w:r w:rsidR="00726B8F">
        <w:t xml:space="preserve">35 </w:t>
      </w:r>
      <w:r>
        <w:t xml:space="preserve">% na výstupe celého ekonomického modelu. </w:t>
      </w:r>
    </w:p>
    <w:p w14:paraId="3AFFB726" w14:textId="7DD95396" w:rsidR="005A7D49" w:rsidRDefault="000A0729">
      <w:pPr>
        <w:spacing w:before="0" w:after="0" w:line="240" w:lineRule="auto"/>
        <w:jc w:val="left"/>
        <w:rPr>
          <w:b/>
        </w:rPr>
      </w:pPr>
      <w:r w:rsidRPr="00A40297">
        <w:rPr>
          <w:b/>
        </w:rPr>
        <w:t xml:space="preserve">Variant 2 je s prihliadnutím k vyššie uvedeným argumentom vhodnejší na realizáciu, </w:t>
      </w:r>
      <w:r>
        <w:rPr>
          <w:b/>
        </w:rPr>
        <w:t>variant je mierne nákladovo aj ekonomicky efektívnejší a vykazuje vyššiu stabilitu pri zmene vstupných parametrov.</w:t>
      </w:r>
      <w:r w:rsidRPr="00A40297" w:rsidDel="000A0729">
        <w:rPr>
          <w:b/>
        </w:rPr>
        <w:t xml:space="preserve"> </w:t>
      </w:r>
    </w:p>
    <w:p w14:paraId="02C1B304" w14:textId="4E2DA833" w:rsidR="002A030F" w:rsidRDefault="002A030F">
      <w:pPr>
        <w:spacing w:before="0" w:after="0" w:line="240" w:lineRule="auto"/>
        <w:jc w:val="left"/>
        <w:rPr>
          <w:b/>
        </w:rPr>
      </w:pPr>
    </w:p>
    <w:p w14:paraId="7DBE8817" w14:textId="77777777" w:rsidR="00726B8F" w:rsidRDefault="00726B8F">
      <w:pPr>
        <w:spacing w:before="0" w:after="0" w:line="240" w:lineRule="auto"/>
        <w:jc w:val="left"/>
        <w:rPr>
          <w:b/>
        </w:rPr>
      </w:pPr>
    </w:p>
    <w:p w14:paraId="02501A87" w14:textId="4159AB13" w:rsidR="002A030F" w:rsidRDefault="002A030F" w:rsidP="00A40297">
      <w:pPr>
        <w:pStyle w:val="Caption"/>
      </w:pPr>
      <w:r>
        <w:t xml:space="preserve">Tab. </w:t>
      </w:r>
      <w:r>
        <w:fldChar w:fldCharType="begin"/>
      </w:r>
      <w:r>
        <w:instrText xml:space="preserve"> SEQ Tab. \* ARABIC </w:instrText>
      </w:r>
      <w:r>
        <w:fldChar w:fldCharType="separate"/>
      </w:r>
      <w:r w:rsidR="00A86720">
        <w:rPr>
          <w:noProof/>
        </w:rPr>
        <w:t>67</w:t>
      </w:r>
      <w:r>
        <w:fldChar w:fldCharType="end"/>
      </w:r>
      <w:r>
        <w:t xml:space="preserve"> - Zhrnutie výsledkov finančnej a ekonomickej analýzy</w:t>
      </w:r>
    </w:p>
    <w:tbl>
      <w:tblPr>
        <w:tblW w:w="91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6600"/>
        <w:gridCol w:w="1300"/>
        <w:gridCol w:w="1220"/>
      </w:tblGrid>
      <w:tr w:rsidR="002A030F" w:rsidRPr="00A40297" w14:paraId="570ED1FA" w14:textId="77777777" w:rsidTr="00A40297">
        <w:trPr>
          <w:trHeight w:val="255"/>
        </w:trPr>
        <w:tc>
          <w:tcPr>
            <w:tcW w:w="6600" w:type="dxa"/>
            <w:shd w:val="clear" w:color="000000" w:fill="B8CCE4"/>
            <w:vAlign w:val="center"/>
            <w:hideMark/>
          </w:tcPr>
          <w:p w14:paraId="4351F81F" w14:textId="00524FBD" w:rsidR="002A030F" w:rsidRPr="00A40297" w:rsidRDefault="002A030F" w:rsidP="00A40297">
            <w:pPr>
              <w:spacing w:before="0" w:after="0" w:line="240" w:lineRule="auto"/>
              <w:ind w:firstLineChars="100" w:firstLine="200"/>
              <w:jc w:val="left"/>
              <w:rPr>
                <w:rFonts w:ascii="Calibri" w:hAnsi="Calibri" w:cs="Calibri"/>
                <w:szCs w:val="20"/>
              </w:rPr>
            </w:pPr>
            <w:r w:rsidRPr="00A40297">
              <w:rPr>
                <w:rFonts w:ascii="Calibri" w:hAnsi="Calibri" w:cs="Calibri"/>
                <w:szCs w:val="20"/>
              </w:rPr>
              <w:t>U</w:t>
            </w:r>
            <w:r>
              <w:rPr>
                <w:rFonts w:ascii="Calibri" w:hAnsi="Calibri" w:cs="Calibri"/>
                <w:szCs w:val="20"/>
              </w:rPr>
              <w:t>k</w:t>
            </w:r>
            <w:r w:rsidRPr="00A40297">
              <w:rPr>
                <w:rFonts w:ascii="Calibri" w:hAnsi="Calibri" w:cs="Calibri"/>
                <w:szCs w:val="20"/>
              </w:rPr>
              <w:t>azovateľ</w:t>
            </w:r>
          </w:p>
        </w:tc>
        <w:tc>
          <w:tcPr>
            <w:tcW w:w="1300" w:type="dxa"/>
            <w:shd w:val="clear" w:color="000000" w:fill="B8CCE4"/>
            <w:vAlign w:val="center"/>
            <w:hideMark/>
          </w:tcPr>
          <w:p w14:paraId="3AA89CCC" w14:textId="77777777" w:rsidR="002A030F" w:rsidRPr="00A40297" w:rsidRDefault="002A030F" w:rsidP="002A030F">
            <w:pPr>
              <w:spacing w:before="0" w:after="0" w:line="240" w:lineRule="auto"/>
              <w:jc w:val="center"/>
              <w:rPr>
                <w:rFonts w:ascii="Calibri" w:hAnsi="Calibri" w:cs="Calibri"/>
                <w:szCs w:val="20"/>
              </w:rPr>
            </w:pPr>
            <w:r w:rsidRPr="00A40297">
              <w:rPr>
                <w:rFonts w:ascii="Calibri" w:hAnsi="Calibri" w:cs="Calibri"/>
                <w:szCs w:val="20"/>
              </w:rPr>
              <w:t>Variant 1</w:t>
            </w:r>
          </w:p>
        </w:tc>
        <w:tc>
          <w:tcPr>
            <w:tcW w:w="1220" w:type="dxa"/>
            <w:shd w:val="clear" w:color="000000" w:fill="B8CCE4"/>
            <w:vAlign w:val="center"/>
            <w:hideMark/>
          </w:tcPr>
          <w:p w14:paraId="71940849" w14:textId="77777777" w:rsidR="002A030F" w:rsidRPr="00A40297" w:rsidRDefault="002A030F" w:rsidP="002A030F">
            <w:pPr>
              <w:spacing w:before="0" w:after="0" w:line="240" w:lineRule="auto"/>
              <w:jc w:val="center"/>
              <w:rPr>
                <w:rFonts w:ascii="Calibri" w:hAnsi="Calibri" w:cs="Calibri"/>
                <w:szCs w:val="20"/>
              </w:rPr>
            </w:pPr>
            <w:r w:rsidRPr="00A40297">
              <w:rPr>
                <w:rFonts w:ascii="Calibri" w:hAnsi="Calibri" w:cs="Calibri"/>
                <w:szCs w:val="20"/>
              </w:rPr>
              <w:t>Variant 2</w:t>
            </w:r>
          </w:p>
        </w:tc>
      </w:tr>
      <w:tr w:rsidR="000A0729" w:rsidRPr="00A40297" w14:paraId="270645BA" w14:textId="77777777" w:rsidTr="00A40297">
        <w:trPr>
          <w:trHeight w:val="180"/>
        </w:trPr>
        <w:tc>
          <w:tcPr>
            <w:tcW w:w="6600" w:type="dxa"/>
            <w:shd w:val="clear" w:color="000000" w:fill="DDEBF7"/>
            <w:vAlign w:val="center"/>
            <w:hideMark/>
          </w:tcPr>
          <w:p w14:paraId="6E9A4E97" w14:textId="77777777" w:rsidR="000A0729" w:rsidRPr="00A40297" w:rsidRDefault="000A0729" w:rsidP="000A0729">
            <w:pPr>
              <w:spacing w:before="0" w:after="0" w:line="240" w:lineRule="auto"/>
              <w:ind w:firstLineChars="100" w:firstLine="200"/>
              <w:jc w:val="left"/>
              <w:rPr>
                <w:rFonts w:ascii="Calibri" w:hAnsi="Calibri" w:cs="Calibri"/>
                <w:color w:val="000000"/>
                <w:szCs w:val="20"/>
              </w:rPr>
            </w:pPr>
            <w:r w:rsidRPr="00A40297">
              <w:rPr>
                <w:rFonts w:ascii="Calibri" w:hAnsi="Calibri" w:cs="Calibri"/>
                <w:color w:val="000000"/>
                <w:szCs w:val="20"/>
              </w:rPr>
              <w:t>Finančná čistá súčasná hodnota investície (FRR_C)</w:t>
            </w:r>
          </w:p>
        </w:tc>
        <w:tc>
          <w:tcPr>
            <w:tcW w:w="1300" w:type="dxa"/>
            <w:shd w:val="clear" w:color="auto" w:fill="auto"/>
            <w:noWrap/>
            <w:vAlign w:val="center"/>
            <w:hideMark/>
          </w:tcPr>
          <w:p w14:paraId="30C5F0D7" w14:textId="4DB4B3C7" w:rsidR="000A0729" w:rsidRPr="006D3285" w:rsidRDefault="000A0729" w:rsidP="000A0729">
            <w:pPr>
              <w:spacing w:before="0" w:after="0" w:line="240" w:lineRule="auto"/>
              <w:jc w:val="right"/>
              <w:rPr>
                <w:rFonts w:ascii="Calibri" w:hAnsi="Calibri" w:cs="Calibri"/>
                <w:color w:val="000000"/>
                <w:szCs w:val="18"/>
              </w:rPr>
            </w:pPr>
            <w:r w:rsidRPr="006D3285">
              <w:rPr>
                <w:rFonts w:ascii="Calibri" w:hAnsi="Calibri" w:cs="Calibri"/>
                <w:color w:val="000000"/>
                <w:szCs w:val="18"/>
              </w:rPr>
              <w:t>774 223 058</w:t>
            </w:r>
          </w:p>
        </w:tc>
        <w:tc>
          <w:tcPr>
            <w:tcW w:w="1220" w:type="dxa"/>
            <w:shd w:val="clear" w:color="auto" w:fill="auto"/>
            <w:noWrap/>
            <w:vAlign w:val="center"/>
            <w:hideMark/>
          </w:tcPr>
          <w:p w14:paraId="34B536DB" w14:textId="1568A9A4" w:rsidR="000A0729" w:rsidRPr="00366F12" w:rsidRDefault="000A0729" w:rsidP="000A0729">
            <w:pPr>
              <w:spacing w:before="0" w:after="0" w:line="240" w:lineRule="auto"/>
              <w:jc w:val="right"/>
              <w:rPr>
                <w:rFonts w:ascii="Calibri" w:hAnsi="Calibri" w:cs="Calibri"/>
                <w:color w:val="000000"/>
                <w:szCs w:val="18"/>
              </w:rPr>
            </w:pPr>
            <w:r w:rsidRPr="00366F12">
              <w:rPr>
                <w:rFonts w:ascii="Calibri" w:hAnsi="Calibri" w:cs="Calibri"/>
                <w:color w:val="000000"/>
                <w:szCs w:val="20"/>
              </w:rPr>
              <w:t>778 158 721</w:t>
            </w:r>
          </w:p>
        </w:tc>
      </w:tr>
      <w:tr w:rsidR="000A0729" w:rsidRPr="00A40297" w14:paraId="2EF50BE4" w14:textId="77777777" w:rsidTr="00A40297">
        <w:trPr>
          <w:trHeight w:val="212"/>
        </w:trPr>
        <w:tc>
          <w:tcPr>
            <w:tcW w:w="6600" w:type="dxa"/>
            <w:shd w:val="clear" w:color="000000" w:fill="DDEBF7"/>
            <w:vAlign w:val="center"/>
            <w:hideMark/>
          </w:tcPr>
          <w:p w14:paraId="36ADC610" w14:textId="77777777" w:rsidR="000A0729" w:rsidRPr="00A40297" w:rsidRDefault="000A0729" w:rsidP="000A0729">
            <w:pPr>
              <w:spacing w:before="0" w:after="0" w:line="240" w:lineRule="auto"/>
              <w:ind w:firstLineChars="100" w:firstLine="200"/>
              <w:jc w:val="left"/>
              <w:rPr>
                <w:rFonts w:ascii="Calibri" w:hAnsi="Calibri" w:cs="Calibri"/>
                <w:color w:val="000000"/>
                <w:szCs w:val="20"/>
              </w:rPr>
            </w:pPr>
            <w:r w:rsidRPr="00A40297">
              <w:rPr>
                <w:rFonts w:ascii="Calibri" w:hAnsi="Calibri" w:cs="Calibri"/>
                <w:color w:val="000000"/>
                <w:szCs w:val="20"/>
              </w:rPr>
              <w:t>Finančné vnútorné výnosové percento investície  (FIRR_C)</w:t>
            </w:r>
          </w:p>
        </w:tc>
        <w:tc>
          <w:tcPr>
            <w:tcW w:w="1300" w:type="dxa"/>
            <w:shd w:val="clear" w:color="auto" w:fill="auto"/>
            <w:noWrap/>
            <w:vAlign w:val="center"/>
            <w:hideMark/>
          </w:tcPr>
          <w:p w14:paraId="43943751" w14:textId="47B1AA8F" w:rsidR="000A0729" w:rsidRPr="006D3285" w:rsidRDefault="000A0729" w:rsidP="000A0729">
            <w:pPr>
              <w:spacing w:before="0" w:after="0" w:line="240" w:lineRule="auto"/>
              <w:jc w:val="right"/>
              <w:rPr>
                <w:rFonts w:ascii="Calibri" w:hAnsi="Calibri" w:cs="Calibri"/>
                <w:color w:val="000000"/>
                <w:szCs w:val="18"/>
              </w:rPr>
            </w:pPr>
            <w:r w:rsidRPr="006D3285">
              <w:rPr>
                <w:rFonts w:ascii="Calibri" w:hAnsi="Calibri" w:cs="Calibri"/>
                <w:color w:val="000000"/>
                <w:szCs w:val="18"/>
              </w:rPr>
              <w:t>4505%</w:t>
            </w:r>
          </w:p>
        </w:tc>
        <w:tc>
          <w:tcPr>
            <w:tcW w:w="1220" w:type="dxa"/>
            <w:shd w:val="clear" w:color="auto" w:fill="auto"/>
            <w:noWrap/>
            <w:vAlign w:val="center"/>
            <w:hideMark/>
          </w:tcPr>
          <w:p w14:paraId="281B00A9" w14:textId="6B40ADB3" w:rsidR="000A0729" w:rsidRPr="00366F12" w:rsidRDefault="000A0729" w:rsidP="000A0729">
            <w:pPr>
              <w:spacing w:before="0" w:after="0" w:line="240" w:lineRule="auto"/>
              <w:jc w:val="right"/>
              <w:rPr>
                <w:rFonts w:ascii="Calibri" w:hAnsi="Calibri" w:cs="Calibri"/>
                <w:color w:val="000000"/>
                <w:szCs w:val="18"/>
              </w:rPr>
            </w:pPr>
            <w:r w:rsidRPr="00366F12">
              <w:rPr>
                <w:rFonts w:ascii="Calibri" w:hAnsi="Calibri" w:cs="Calibri"/>
                <w:color w:val="000000"/>
                <w:szCs w:val="20"/>
              </w:rPr>
              <w:t>4511%</w:t>
            </w:r>
          </w:p>
        </w:tc>
      </w:tr>
      <w:tr w:rsidR="000A0729" w:rsidRPr="00A40297" w14:paraId="7B9B018D" w14:textId="77777777" w:rsidTr="00A40297">
        <w:trPr>
          <w:trHeight w:val="102"/>
        </w:trPr>
        <w:tc>
          <w:tcPr>
            <w:tcW w:w="6600" w:type="dxa"/>
            <w:shd w:val="clear" w:color="000000" w:fill="DDEBF7"/>
            <w:vAlign w:val="center"/>
            <w:hideMark/>
          </w:tcPr>
          <w:p w14:paraId="09D60206" w14:textId="77777777" w:rsidR="000A0729" w:rsidRPr="00A40297" w:rsidRDefault="000A0729" w:rsidP="000A0729">
            <w:pPr>
              <w:spacing w:before="0" w:after="0" w:line="240" w:lineRule="auto"/>
              <w:ind w:firstLineChars="100" w:firstLine="200"/>
              <w:jc w:val="left"/>
              <w:rPr>
                <w:rFonts w:ascii="Calibri" w:hAnsi="Calibri" w:cs="Calibri"/>
                <w:color w:val="000000"/>
                <w:szCs w:val="20"/>
              </w:rPr>
            </w:pPr>
            <w:r w:rsidRPr="00A40297">
              <w:rPr>
                <w:rFonts w:ascii="Calibri" w:hAnsi="Calibri" w:cs="Calibri"/>
                <w:color w:val="000000"/>
                <w:szCs w:val="20"/>
              </w:rPr>
              <w:t>Ekonomická čistá súčasná hodnota investície (ENPV)</w:t>
            </w:r>
          </w:p>
        </w:tc>
        <w:tc>
          <w:tcPr>
            <w:tcW w:w="1300" w:type="dxa"/>
            <w:shd w:val="clear" w:color="auto" w:fill="auto"/>
            <w:noWrap/>
            <w:vAlign w:val="center"/>
            <w:hideMark/>
          </w:tcPr>
          <w:p w14:paraId="72184BA3" w14:textId="55F5F567" w:rsidR="000A0729" w:rsidRPr="006D3285" w:rsidRDefault="000A0729" w:rsidP="000A0729">
            <w:pPr>
              <w:spacing w:before="0" w:after="0" w:line="240" w:lineRule="auto"/>
              <w:jc w:val="right"/>
              <w:rPr>
                <w:rFonts w:ascii="Calibri" w:hAnsi="Calibri" w:cs="Calibri"/>
                <w:color w:val="000000"/>
                <w:szCs w:val="18"/>
              </w:rPr>
            </w:pPr>
            <w:r w:rsidRPr="006D3285">
              <w:rPr>
                <w:rFonts w:ascii="Calibri" w:hAnsi="Calibri" w:cs="Calibri"/>
                <w:color w:val="000000"/>
                <w:szCs w:val="18"/>
              </w:rPr>
              <w:t>790 047 967</w:t>
            </w:r>
          </w:p>
        </w:tc>
        <w:tc>
          <w:tcPr>
            <w:tcW w:w="1220" w:type="dxa"/>
            <w:shd w:val="clear" w:color="auto" w:fill="auto"/>
            <w:noWrap/>
            <w:vAlign w:val="center"/>
            <w:hideMark/>
          </w:tcPr>
          <w:p w14:paraId="291A938B" w14:textId="2B54A3EA" w:rsidR="000A0729" w:rsidRPr="00366F12" w:rsidRDefault="000A0729" w:rsidP="000A0729">
            <w:pPr>
              <w:spacing w:before="0" w:after="0" w:line="240" w:lineRule="auto"/>
              <w:jc w:val="right"/>
              <w:rPr>
                <w:rFonts w:ascii="Calibri" w:hAnsi="Calibri" w:cs="Calibri"/>
                <w:color w:val="000000"/>
                <w:szCs w:val="18"/>
              </w:rPr>
            </w:pPr>
            <w:r w:rsidRPr="00366F12">
              <w:rPr>
                <w:rFonts w:ascii="Calibri" w:hAnsi="Calibri" w:cs="Calibri"/>
                <w:color w:val="000000"/>
                <w:szCs w:val="20"/>
              </w:rPr>
              <w:t>796 584 381</w:t>
            </w:r>
          </w:p>
        </w:tc>
      </w:tr>
      <w:tr w:rsidR="000A0729" w:rsidRPr="00A40297" w14:paraId="5BF50E46" w14:textId="77777777" w:rsidTr="00A40297">
        <w:trPr>
          <w:trHeight w:val="276"/>
        </w:trPr>
        <w:tc>
          <w:tcPr>
            <w:tcW w:w="6600" w:type="dxa"/>
            <w:shd w:val="clear" w:color="000000" w:fill="DDEBF7"/>
            <w:vAlign w:val="center"/>
            <w:hideMark/>
          </w:tcPr>
          <w:p w14:paraId="0497780F" w14:textId="77777777" w:rsidR="000A0729" w:rsidRPr="00A40297" w:rsidRDefault="000A0729" w:rsidP="000A0729">
            <w:pPr>
              <w:spacing w:before="0" w:after="0" w:line="240" w:lineRule="auto"/>
              <w:ind w:firstLineChars="100" w:firstLine="200"/>
              <w:jc w:val="left"/>
              <w:rPr>
                <w:rFonts w:ascii="Calibri" w:hAnsi="Calibri" w:cs="Calibri"/>
                <w:color w:val="000000"/>
                <w:szCs w:val="20"/>
              </w:rPr>
            </w:pPr>
            <w:r w:rsidRPr="00A40297">
              <w:rPr>
                <w:rFonts w:ascii="Calibri" w:hAnsi="Calibri" w:cs="Calibri"/>
                <w:color w:val="000000"/>
                <w:szCs w:val="20"/>
              </w:rPr>
              <w:t>Ekonomická vnútorná miera návratnosti (EIRR)</w:t>
            </w:r>
          </w:p>
        </w:tc>
        <w:tc>
          <w:tcPr>
            <w:tcW w:w="1300" w:type="dxa"/>
            <w:shd w:val="clear" w:color="auto" w:fill="auto"/>
            <w:noWrap/>
            <w:vAlign w:val="center"/>
            <w:hideMark/>
          </w:tcPr>
          <w:p w14:paraId="41E5986A" w14:textId="0670D4CF" w:rsidR="000A0729" w:rsidRPr="006D3285" w:rsidRDefault="000A0729" w:rsidP="000A0729">
            <w:pPr>
              <w:spacing w:before="0" w:after="0" w:line="240" w:lineRule="auto"/>
              <w:jc w:val="right"/>
              <w:rPr>
                <w:rFonts w:ascii="Calibri" w:hAnsi="Calibri" w:cs="Calibri"/>
                <w:color w:val="000000"/>
                <w:szCs w:val="18"/>
              </w:rPr>
            </w:pPr>
            <w:r w:rsidRPr="006D3285">
              <w:rPr>
                <w:rFonts w:ascii="Calibri" w:hAnsi="Calibri" w:cs="Calibri"/>
                <w:color w:val="000000"/>
                <w:szCs w:val="18"/>
              </w:rPr>
              <w:t>5421%</w:t>
            </w:r>
          </w:p>
        </w:tc>
        <w:tc>
          <w:tcPr>
            <w:tcW w:w="1220" w:type="dxa"/>
            <w:shd w:val="clear" w:color="auto" w:fill="auto"/>
            <w:noWrap/>
            <w:vAlign w:val="center"/>
            <w:hideMark/>
          </w:tcPr>
          <w:p w14:paraId="2014E07E" w14:textId="69211375" w:rsidR="000A0729" w:rsidRPr="00366F12" w:rsidRDefault="000A0729" w:rsidP="000A0729">
            <w:pPr>
              <w:spacing w:before="0" w:after="0" w:line="240" w:lineRule="auto"/>
              <w:jc w:val="right"/>
              <w:rPr>
                <w:rFonts w:ascii="Calibri" w:hAnsi="Calibri" w:cs="Calibri"/>
                <w:color w:val="000000"/>
                <w:szCs w:val="18"/>
              </w:rPr>
            </w:pPr>
            <w:r w:rsidRPr="00366F12">
              <w:rPr>
                <w:rFonts w:ascii="Calibri" w:hAnsi="Calibri" w:cs="Calibri"/>
                <w:color w:val="000000"/>
                <w:szCs w:val="20"/>
              </w:rPr>
              <w:t>5433%</w:t>
            </w:r>
          </w:p>
        </w:tc>
      </w:tr>
      <w:tr w:rsidR="000A0729" w:rsidRPr="00A40297" w14:paraId="2FD64558" w14:textId="77777777" w:rsidTr="00A40297">
        <w:trPr>
          <w:trHeight w:val="255"/>
        </w:trPr>
        <w:tc>
          <w:tcPr>
            <w:tcW w:w="6600" w:type="dxa"/>
            <w:shd w:val="clear" w:color="000000" w:fill="DDEBF7"/>
            <w:vAlign w:val="center"/>
            <w:hideMark/>
          </w:tcPr>
          <w:p w14:paraId="63317EBA" w14:textId="2E59D656" w:rsidR="000A0729" w:rsidRPr="00A40297" w:rsidRDefault="000A0729" w:rsidP="000A0729">
            <w:pPr>
              <w:spacing w:before="0" w:after="0" w:line="240" w:lineRule="auto"/>
              <w:ind w:firstLineChars="100" w:firstLine="200"/>
              <w:jc w:val="left"/>
              <w:rPr>
                <w:rFonts w:ascii="Calibri" w:hAnsi="Calibri" w:cs="Calibri"/>
                <w:color w:val="000000"/>
                <w:szCs w:val="20"/>
              </w:rPr>
            </w:pPr>
            <w:r>
              <w:rPr>
                <w:rFonts w:ascii="Calibri" w:hAnsi="Calibri" w:cs="Calibri"/>
                <w:color w:val="000000"/>
                <w:szCs w:val="20"/>
              </w:rPr>
              <w:t>Nákladová efektívnosť (</w:t>
            </w:r>
            <w:r w:rsidRPr="00A40297">
              <w:rPr>
                <w:rFonts w:ascii="Calibri" w:hAnsi="Calibri" w:cs="Calibri"/>
                <w:color w:val="000000"/>
                <w:szCs w:val="20"/>
              </w:rPr>
              <w:t>B/C</w:t>
            </w:r>
            <w:r>
              <w:rPr>
                <w:rFonts w:ascii="Calibri" w:hAnsi="Calibri" w:cs="Calibri"/>
                <w:color w:val="000000"/>
                <w:szCs w:val="20"/>
              </w:rPr>
              <w:t>)</w:t>
            </w:r>
          </w:p>
        </w:tc>
        <w:tc>
          <w:tcPr>
            <w:tcW w:w="1300" w:type="dxa"/>
            <w:shd w:val="clear" w:color="auto" w:fill="auto"/>
            <w:noWrap/>
            <w:vAlign w:val="center"/>
            <w:hideMark/>
          </w:tcPr>
          <w:p w14:paraId="7CD7839A" w14:textId="7C4B2359" w:rsidR="000A0729" w:rsidRPr="006D3285" w:rsidRDefault="000A0729" w:rsidP="000A0729">
            <w:pPr>
              <w:spacing w:before="0" w:after="0" w:line="240" w:lineRule="auto"/>
              <w:jc w:val="right"/>
              <w:rPr>
                <w:rFonts w:ascii="Calibri" w:hAnsi="Calibri" w:cs="Calibri"/>
                <w:color w:val="000000"/>
                <w:szCs w:val="18"/>
              </w:rPr>
            </w:pPr>
            <w:r w:rsidRPr="006D3285">
              <w:rPr>
                <w:rFonts w:ascii="Calibri" w:hAnsi="Calibri" w:cs="Calibri"/>
                <w:color w:val="000000"/>
                <w:szCs w:val="18"/>
              </w:rPr>
              <w:t>3,90</w:t>
            </w:r>
          </w:p>
        </w:tc>
        <w:tc>
          <w:tcPr>
            <w:tcW w:w="1220" w:type="dxa"/>
            <w:shd w:val="clear" w:color="auto" w:fill="auto"/>
            <w:noWrap/>
            <w:vAlign w:val="center"/>
            <w:hideMark/>
          </w:tcPr>
          <w:p w14:paraId="72E0A992" w14:textId="34F46C56" w:rsidR="000A0729" w:rsidRPr="00366F12" w:rsidRDefault="000A0729" w:rsidP="000A0729">
            <w:pPr>
              <w:spacing w:before="0" w:after="0" w:line="240" w:lineRule="auto"/>
              <w:jc w:val="right"/>
              <w:rPr>
                <w:rFonts w:ascii="Calibri" w:hAnsi="Calibri" w:cs="Calibri"/>
                <w:color w:val="000000"/>
                <w:szCs w:val="18"/>
              </w:rPr>
            </w:pPr>
            <w:r w:rsidRPr="00366F12">
              <w:rPr>
                <w:rFonts w:ascii="Calibri" w:hAnsi="Calibri" w:cs="Calibri"/>
                <w:color w:val="000000"/>
                <w:szCs w:val="20"/>
              </w:rPr>
              <w:t>3,96</w:t>
            </w:r>
          </w:p>
        </w:tc>
      </w:tr>
      <w:tr w:rsidR="000A0729" w:rsidRPr="00A40297" w14:paraId="4F08D117" w14:textId="77777777" w:rsidTr="00A40297">
        <w:trPr>
          <w:trHeight w:val="255"/>
        </w:trPr>
        <w:tc>
          <w:tcPr>
            <w:tcW w:w="6600" w:type="dxa"/>
            <w:shd w:val="clear" w:color="000000" w:fill="DDEBF7"/>
            <w:vAlign w:val="center"/>
            <w:hideMark/>
          </w:tcPr>
          <w:p w14:paraId="4A2F0BD2" w14:textId="77777777" w:rsidR="000A0729" w:rsidRPr="00A40297" w:rsidRDefault="000A0729" w:rsidP="000A0729">
            <w:pPr>
              <w:spacing w:before="0" w:after="0" w:line="240" w:lineRule="auto"/>
              <w:ind w:firstLineChars="100" w:firstLine="200"/>
              <w:jc w:val="left"/>
              <w:rPr>
                <w:rFonts w:ascii="Calibri" w:hAnsi="Calibri" w:cs="Calibri"/>
                <w:color w:val="000000"/>
                <w:szCs w:val="20"/>
              </w:rPr>
            </w:pPr>
            <w:r w:rsidRPr="00A40297">
              <w:rPr>
                <w:rFonts w:ascii="Calibri" w:hAnsi="Calibri" w:cs="Calibri"/>
                <w:color w:val="000000"/>
                <w:szCs w:val="20"/>
              </w:rPr>
              <w:t>Kumulovaný čistý peňažný tok za 5 rokov prevádzky</w:t>
            </w:r>
          </w:p>
        </w:tc>
        <w:tc>
          <w:tcPr>
            <w:tcW w:w="1300" w:type="dxa"/>
            <w:shd w:val="clear" w:color="auto" w:fill="auto"/>
            <w:noWrap/>
            <w:vAlign w:val="center"/>
            <w:hideMark/>
          </w:tcPr>
          <w:p w14:paraId="09E562BD" w14:textId="0712EC20" w:rsidR="000A0729" w:rsidRPr="006D3285" w:rsidRDefault="000A0729" w:rsidP="000A0729">
            <w:pPr>
              <w:spacing w:before="0" w:after="0" w:line="240" w:lineRule="auto"/>
              <w:jc w:val="right"/>
              <w:rPr>
                <w:rFonts w:ascii="Calibri" w:hAnsi="Calibri" w:cs="Calibri"/>
                <w:color w:val="000000"/>
                <w:szCs w:val="18"/>
              </w:rPr>
            </w:pPr>
            <w:r w:rsidRPr="006D3285">
              <w:rPr>
                <w:rFonts w:ascii="Calibri" w:hAnsi="Calibri" w:cs="Calibri"/>
                <w:color w:val="000000"/>
                <w:szCs w:val="18"/>
              </w:rPr>
              <w:t>872 666 375</w:t>
            </w:r>
          </w:p>
        </w:tc>
        <w:tc>
          <w:tcPr>
            <w:tcW w:w="1220" w:type="dxa"/>
            <w:shd w:val="clear" w:color="auto" w:fill="auto"/>
            <w:noWrap/>
            <w:vAlign w:val="center"/>
            <w:hideMark/>
          </w:tcPr>
          <w:p w14:paraId="4009B245" w14:textId="1FECEA3F" w:rsidR="000A0729" w:rsidRPr="00366F12" w:rsidRDefault="000A0729" w:rsidP="000A0729">
            <w:pPr>
              <w:spacing w:before="0" w:after="0" w:line="240" w:lineRule="auto"/>
              <w:jc w:val="right"/>
              <w:rPr>
                <w:rFonts w:ascii="Calibri" w:hAnsi="Calibri" w:cs="Calibri"/>
                <w:color w:val="000000"/>
                <w:szCs w:val="18"/>
              </w:rPr>
            </w:pPr>
            <w:r w:rsidRPr="00366F12">
              <w:rPr>
                <w:rFonts w:ascii="Calibri" w:hAnsi="Calibri" w:cs="Calibri"/>
                <w:color w:val="000000"/>
                <w:szCs w:val="20"/>
              </w:rPr>
              <w:t>877 242 246</w:t>
            </w:r>
          </w:p>
        </w:tc>
      </w:tr>
    </w:tbl>
    <w:p w14:paraId="0E9DA809" w14:textId="77777777" w:rsidR="002A030F" w:rsidRPr="00A40297" w:rsidRDefault="002A030F">
      <w:pPr>
        <w:spacing w:before="0" w:after="0" w:line="240" w:lineRule="auto"/>
        <w:jc w:val="left"/>
        <w:rPr>
          <w:b/>
        </w:rPr>
      </w:pPr>
    </w:p>
    <w:p w14:paraId="5F3C2CE9" w14:textId="785DF686" w:rsidR="00EC664E" w:rsidRDefault="00EC664E">
      <w:pPr>
        <w:spacing w:before="0" w:after="0" w:line="240" w:lineRule="auto"/>
        <w:jc w:val="left"/>
      </w:pPr>
    </w:p>
    <w:p w14:paraId="6C67A24B" w14:textId="5EE345E8" w:rsidR="00BC4754" w:rsidRDefault="00BC4754" w:rsidP="00A40297">
      <w:pPr>
        <w:keepNext/>
        <w:spacing w:before="0" w:after="0" w:line="240" w:lineRule="auto"/>
        <w:jc w:val="left"/>
      </w:pPr>
    </w:p>
    <w:p w14:paraId="39F5254A" w14:textId="6F297C5B" w:rsidR="000A0729" w:rsidRDefault="000A0729" w:rsidP="00A40297">
      <w:pPr>
        <w:keepNext/>
        <w:spacing w:before="0" w:after="0" w:line="240" w:lineRule="auto"/>
        <w:jc w:val="left"/>
      </w:pPr>
      <w:r>
        <w:rPr>
          <w:noProof/>
          <w:lang w:val="cs-CZ"/>
        </w:rPr>
        <w:drawing>
          <wp:inline distT="0" distB="0" distL="0" distR="0" wp14:anchorId="2594A7B2" wp14:editId="52F21C39">
            <wp:extent cx="3886200" cy="226112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402" cy="2273456"/>
                    </a:xfrm>
                    <a:prstGeom prst="rect">
                      <a:avLst/>
                    </a:prstGeom>
                    <a:noFill/>
                  </pic:spPr>
                </pic:pic>
              </a:graphicData>
            </a:graphic>
          </wp:inline>
        </w:drawing>
      </w:r>
    </w:p>
    <w:p w14:paraId="47C76099" w14:textId="336F37C3" w:rsidR="00EC664E" w:rsidRDefault="00BC4754" w:rsidP="00A40297">
      <w:pPr>
        <w:pStyle w:val="Caption"/>
        <w:jc w:val="left"/>
      </w:pPr>
      <w:r>
        <w:t xml:space="preserve">Obr. </w:t>
      </w:r>
      <w:r>
        <w:fldChar w:fldCharType="begin"/>
      </w:r>
      <w:r>
        <w:instrText xml:space="preserve"> SEQ Obr. \* ARABIC </w:instrText>
      </w:r>
      <w:r>
        <w:fldChar w:fldCharType="separate"/>
      </w:r>
      <w:r w:rsidR="00A86720">
        <w:rPr>
          <w:noProof/>
        </w:rPr>
        <w:t>12</w:t>
      </w:r>
      <w:r>
        <w:fldChar w:fldCharType="end"/>
      </w:r>
      <w:r>
        <w:t xml:space="preserve"> - Porovnanie variantov - ukazovateľ čistej súčasnej hodnoty</w:t>
      </w:r>
    </w:p>
    <w:p w14:paraId="62DEFEBE" w14:textId="556D4ED4" w:rsidR="00BC4754" w:rsidRDefault="00BC4754" w:rsidP="00A40297"/>
    <w:p w14:paraId="1386E66F" w14:textId="4FFDB903" w:rsidR="000A0729" w:rsidRDefault="000A0729" w:rsidP="00A40297">
      <w:pPr>
        <w:keepNext/>
      </w:pPr>
      <w:r>
        <w:rPr>
          <w:noProof/>
          <w:lang w:val="cs-CZ"/>
        </w:rPr>
        <w:drawing>
          <wp:inline distT="0" distB="0" distL="0" distR="0" wp14:anchorId="10E0981F" wp14:editId="13389A68">
            <wp:extent cx="3771265" cy="2194247"/>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6583" cy="2203159"/>
                    </a:xfrm>
                    <a:prstGeom prst="rect">
                      <a:avLst/>
                    </a:prstGeom>
                    <a:noFill/>
                  </pic:spPr>
                </pic:pic>
              </a:graphicData>
            </a:graphic>
          </wp:inline>
        </w:drawing>
      </w:r>
    </w:p>
    <w:p w14:paraId="5D7603B0" w14:textId="3F78B8D7" w:rsidR="00BC4754" w:rsidRDefault="00BC4754" w:rsidP="00A40297">
      <w:pPr>
        <w:pStyle w:val="Caption"/>
      </w:pPr>
      <w:r>
        <w:t xml:space="preserve">Obr. </w:t>
      </w:r>
      <w:r>
        <w:fldChar w:fldCharType="begin"/>
      </w:r>
      <w:r>
        <w:instrText xml:space="preserve"> SEQ Obr. \* ARABIC </w:instrText>
      </w:r>
      <w:r>
        <w:fldChar w:fldCharType="separate"/>
      </w:r>
      <w:r w:rsidR="00A86720">
        <w:rPr>
          <w:noProof/>
        </w:rPr>
        <w:t>13</w:t>
      </w:r>
      <w:r>
        <w:fldChar w:fldCharType="end"/>
      </w:r>
      <w:r>
        <w:t xml:space="preserve"> - Porovnanie variantov - ukazovateľ výnosové</w:t>
      </w:r>
      <w:r w:rsidR="00687B9A">
        <w:t>ho</w:t>
      </w:r>
      <w:r>
        <w:t xml:space="preserve"> percent</w:t>
      </w:r>
      <w:r w:rsidR="00687B9A">
        <w:t>a</w:t>
      </w:r>
    </w:p>
    <w:p w14:paraId="2AEAFA87" w14:textId="28C16637" w:rsidR="00BC4754" w:rsidRDefault="00BC4754" w:rsidP="00A40297"/>
    <w:p w14:paraId="3B654764" w14:textId="53AF78DD" w:rsidR="000A0729" w:rsidRDefault="000A0729" w:rsidP="00A40297">
      <w:pPr>
        <w:keepNext/>
      </w:pPr>
      <w:r>
        <w:rPr>
          <w:noProof/>
          <w:lang w:val="cs-CZ"/>
        </w:rPr>
        <w:drawing>
          <wp:inline distT="0" distB="0" distL="0" distR="0" wp14:anchorId="4AE87272" wp14:editId="527B64F1">
            <wp:extent cx="3876675" cy="225837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4769" cy="2268911"/>
                    </a:xfrm>
                    <a:prstGeom prst="rect">
                      <a:avLst/>
                    </a:prstGeom>
                    <a:noFill/>
                  </pic:spPr>
                </pic:pic>
              </a:graphicData>
            </a:graphic>
          </wp:inline>
        </w:drawing>
      </w:r>
    </w:p>
    <w:p w14:paraId="1E7B0228" w14:textId="1557E23B" w:rsidR="00BC4754" w:rsidRDefault="00BC4754" w:rsidP="00A40297">
      <w:pPr>
        <w:pStyle w:val="Caption"/>
      </w:pPr>
      <w:r>
        <w:t xml:space="preserve">Obr. </w:t>
      </w:r>
      <w:r>
        <w:fldChar w:fldCharType="begin"/>
      </w:r>
      <w:r>
        <w:instrText xml:space="preserve"> SEQ Obr. \* ARABIC </w:instrText>
      </w:r>
      <w:r>
        <w:fldChar w:fldCharType="separate"/>
      </w:r>
      <w:r w:rsidR="00A86720">
        <w:rPr>
          <w:noProof/>
        </w:rPr>
        <w:t>14</w:t>
      </w:r>
      <w:r>
        <w:fldChar w:fldCharType="end"/>
      </w:r>
      <w:r>
        <w:t xml:space="preserve"> - Porovnanie variantov - ukazovateľ nákladovej efektívnosti</w:t>
      </w:r>
    </w:p>
    <w:p w14:paraId="0ABDFA7A" w14:textId="7C9F6B30" w:rsidR="00BC4754" w:rsidRDefault="00BC4754" w:rsidP="00A40297"/>
    <w:p w14:paraId="0907E84C" w14:textId="0DBC88C9" w:rsidR="000A0729" w:rsidRDefault="000A0729" w:rsidP="00A40297">
      <w:pPr>
        <w:keepNext/>
      </w:pPr>
      <w:r>
        <w:rPr>
          <w:noProof/>
          <w:lang w:val="cs-CZ"/>
        </w:rPr>
        <w:lastRenderedPageBreak/>
        <w:drawing>
          <wp:inline distT="0" distB="0" distL="0" distR="0" wp14:anchorId="6D0F7086" wp14:editId="045CA6B1">
            <wp:extent cx="3862070" cy="2249863"/>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570" cy="2253067"/>
                    </a:xfrm>
                    <a:prstGeom prst="rect">
                      <a:avLst/>
                    </a:prstGeom>
                    <a:noFill/>
                  </pic:spPr>
                </pic:pic>
              </a:graphicData>
            </a:graphic>
          </wp:inline>
        </w:drawing>
      </w:r>
    </w:p>
    <w:p w14:paraId="0AE004E1" w14:textId="1406EEE0" w:rsidR="00BC4754" w:rsidRDefault="00BC4754" w:rsidP="00A40297">
      <w:pPr>
        <w:pStyle w:val="Caption"/>
      </w:pPr>
      <w:r>
        <w:t xml:space="preserve">Obr. </w:t>
      </w:r>
      <w:r>
        <w:fldChar w:fldCharType="begin"/>
      </w:r>
      <w:r>
        <w:instrText xml:space="preserve"> SEQ Obr. \* ARABIC </w:instrText>
      </w:r>
      <w:r>
        <w:fldChar w:fldCharType="separate"/>
      </w:r>
      <w:r w:rsidR="00A86720">
        <w:rPr>
          <w:noProof/>
        </w:rPr>
        <w:t>15</w:t>
      </w:r>
      <w:r>
        <w:fldChar w:fldCharType="end"/>
      </w:r>
      <w:r>
        <w:t xml:space="preserve"> - Porovnanie variantov - ukazovateľ celkových nákladov životného cyklu projektu</w:t>
      </w:r>
    </w:p>
    <w:p w14:paraId="6906CC88" w14:textId="256FEDB4" w:rsidR="000A0729" w:rsidRDefault="000A0729" w:rsidP="00366F12"/>
    <w:p w14:paraId="51FED0BB" w14:textId="418DCF17" w:rsidR="000A0729" w:rsidRDefault="000A0729" w:rsidP="00366F12">
      <w:r>
        <w:rPr>
          <w:noProof/>
          <w:lang w:val="cs-CZ"/>
        </w:rPr>
        <w:drawing>
          <wp:inline distT="0" distB="0" distL="0" distR="0" wp14:anchorId="46BB058B" wp14:editId="0FD08123">
            <wp:extent cx="3862070" cy="2247080"/>
            <wp:effectExtent l="0" t="0" r="508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0938" cy="2258058"/>
                    </a:xfrm>
                    <a:prstGeom prst="rect">
                      <a:avLst/>
                    </a:prstGeom>
                    <a:noFill/>
                  </pic:spPr>
                </pic:pic>
              </a:graphicData>
            </a:graphic>
          </wp:inline>
        </w:drawing>
      </w:r>
    </w:p>
    <w:p w14:paraId="7D08733C" w14:textId="77777777" w:rsidR="000A0729" w:rsidRDefault="000A0729" w:rsidP="000A0729">
      <w:pPr>
        <w:pStyle w:val="Caption"/>
      </w:pPr>
      <w:r>
        <w:t xml:space="preserve">Obr. </w:t>
      </w:r>
      <w:r>
        <w:fldChar w:fldCharType="begin"/>
      </w:r>
      <w:r>
        <w:instrText xml:space="preserve"> SEQ Obr. \* ARABIC </w:instrText>
      </w:r>
      <w:r>
        <w:fldChar w:fldCharType="separate"/>
      </w:r>
      <w:r>
        <w:rPr>
          <w:noProof/>
        </w:rPr>
        <w:t>19</w:t>
      </w:r>
      <w:r>
        <w:fldChar w:fldCharType="end"/>
      </w:r>
      <w:r>
        <w:t xml:space="preserve"> - Porovnanie variantov – kumulovaný peňažný tok za 5 rokov prevádzky</w:t>
      </w:r>
    </w:p>
    <w:p w14:paraId="784E6C76" w14:textId="77777777" w:rsidR="000A0729" w:rsidRPr="000A0729" w:rsidRDefault="000A0729" w:rsidP="00366F12"/>
    <w:p w14:paraId="61FE703F" w14:textId="149037E3" w:rsidR="002A030F" w:rsidRDefault="002A030F">
      <w:pPr>
        <w:spacing w:before="0" w:after="0" w:line="240" w:lineRule="auto"/>
        <w:jc w:val="left"/>
      </w:pPr>
    </w:p>
    <w:p w14:paraId="7BBCABF8" w14:textId="4AEFFBB8" w:rsidR="002A030F" w:rsidRDefault="002A030F">
      <w:pPr>
        <w:spacing w:before="0" w:after="0" w:line="240" w:lineRule="auto"/>
        <w:jc w:val="left"/>
      </w:pPr>
    </w:p>
    <w:p w14:paraId="7398A426" w14:textId="44496114" w:rsidR="002A030F" w:rsidRDefault="002A030F">
      <w:pPr>
        <w:spacing w:before="0" w:after="0" w:line="240" w:lineRule="auto"/>
        <w:jc w:val="left"/>
      </w:pPr>
      <w:r>
        <w:br w:type="page"/>
      </w:r>
    </w:p>
    <w:p w14:paraId="4E1E186D" w14:textId="77777777" w:rsidR="002A030F" w:rsidRDefault="002A030F">
      <w:pPr>
        <w:spacing w:before="0" w:after="0" w:line="240" w:lineRule="auto"/>
        <w:jc w:val="left"/>
      </w:pPr>
    </w:p>
    <w:p w14:paraId="69AFF694" w14:textId="5833E7E1" w:rsidR="009A62DB" w:rsidRDefault="00576136" w:rsidP="00E3086F">
      <w:pPr>
        <w:pStyle w:val="Heading1"/>
      </w:pPr>
      <w:bookmarkStart w:id="228" w:name="_Toc87348776"/>
      <w:r>
        <w:t>Prílohy</w:t>
      </w:r>
      <w:bookmarkEnd w:id="228"/>
    </w:p>
    <w:p w14:paraId="13612BEF" w14:textId="2C454508" w:rsidR="009A62DB" w:rsidRDefault="009A62DB" w:rsidP="009A62DB"/>
    <w:p w14:paraId="613B3182" w14:textId="4634CCB7" w:rsidR="00576136" w:rsidRDefault="00576136" w:rsidP="00480B97">
      <w:pPr>
        <w:pStyle w:val="ListParagraph"/>
        <w:numPr>
          <w:ilvl w:val="0"/>
          <w:numId w:val="25"/>
        </w:numPr>
      </w:pPr>
      <w:r>
        <w:t>Výpočtové tabuľky k CBA analýze, súbor „Príloha_1_CBA_ EETS_Variant1_</w:t>
      </w:r>
      <w:r w:rsidR="000A0729">
        <w:t>v3</w:t>
      </w:r>
      <w:r>
        <w:t>.</w:t>
      </w:r>
      <w:r w:rsidR="000A0729">
        <w:t>1</w:t>
      </w:r>
      <w:r>
        <w:t>.xlsx“</w:t>
      </w:r>
    </w:p>
    <w:p w14:paraId="60601FED" w14:textId="3FB066A9" w:rsidR="00576136" w:rsidRDefault="00576136" w:rsidP="00480B97">
      <w:pPr>
        <w:pStyle w:val="ListParagraph"/>
        <w:numPr>
          <w:ilvl w:val="0"/>
          <w:numId w:val="25"/>
        </w:numPr>
      </w:pPr>
      <w:r>
        <w:t>Výpočtové tabuľky k CBA analýze, súbor „Príloha_2_CBA_ EETS_Variant2_</w:t>
      </w:r>
      <w:r w:rsidR="000A0729">
        <w:t>v3</w:t>
      </w:r>
      <w:r>
        <w:t>.</w:t>
      </w:r>
      <w:r w:rsidR="000A0729">
        <w:t>1</w:t>
      </w:r>
      <w:r>
        <w:t>.xlsx“</w:t>
      </w:r>
    </w:p>
    <w:p w14:paraId="39C204D0" w14:textId="23CD6229" w:rsidR="00576136" w:rsidRDefault="00576136" w:rsidP="00480B97">
      <w:pPr>
        <w:pStyle w:val="ListParagraph"/>
        <w:numPr>
          <w:ilvl w:val="0"/>
          <w:numId w:val="25"/>
        </w:numPr>
      </w:pPr>
      <w:bookmarkStart w:id="229" w:name="_Ref79369997"/>
      <w:r>
        <w:t>CBA analýza IKT projektu „Rozhranie EETS“, súbor tabuliek</w:t>
      </w:r>
      <w:r>
        <w:tab/>
        <w:t xml:space="preserve"> „</w:t>
      </w:r>
      <w:r w:rsidRPr="000F4004">
        <w:t>I_02_BC_CBA_PRILOHA_Projekt_Rozhranie_EETS_NDS_</w:t>
      </w:r>
      <w:r w:rsidR="000A0729" w:rsidRPr="000F4004">
        <w:t>v</w:t>
      </w:r>
      <w:r w:rsidR="000A0729">
        <w:t>3</w:t>
      </w:r>
      <w:r w:rsidRPr="000F4004">
        <w:t>.</w:t>
      </w:r>
      <w:r w:rsidR="000A0729">
        <w:t>1</w:t>
      </w:r>
      <w:r w:rsidRPr="000F4004">
        <w:t>.xlsx</w:t>
      </w:r>
      <w:r>
        <w:t>“</w:t>
      </w:r>
      <w:bookmarkEnd w:id="229"/>
    </w:p>
    <w:bookmarkEnd w:id="1"/>
    <w:bookmarkEnd w:id="2"/>
    <w:p w14:paraId="16DDAE08" w14:textId="269504A2" w:rsidR="00A107EB" w:rsidRDefault="00A107EB">
      <w:pPr>
        <w:spacing w:before="0" w:after="0" w:line="240" w:lineRule="auto"/>
        <w:jc w:val="left"/>
      </w:pPr>
    </w:p>
    <w:sectPr w:rsidR="00A107EB" w:rsidSect="00592616">
      <w:headerReference w:type="even" r:id="rId24"/>
      <w:headerReference w:type="default" r:id="rId25"/>
      <w:footerReference w:type="even" r:id="rId26"/>
      <w:footerReference w:type="default" r:id="rId27"/>
      <w:headerReference w:type="first" r:id="rId28"/>
      <w:footerReference w:type="first" r:id="rId29"/>
      <w:pgSz w:w="11906" w:h="16838" w:code="9"/>
      <w:pgMar w:top="1435" w:right="1134" w:bottom="851" w:left="1418"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B0C2" w14:textId="77777777" w:rsidR="00DE6B97" w:rsidRDefault="00DE6B97" w:rsidP="008C3902">
      <w:r>
        <w:separator/>
      </w:r>
    </w:p>
    <w:p w14:paraId="4B66D605" w14:textId="77777777" w:rsidR="00DE6B97" w:rsidRDefault="00DE6B97" w:rsidP="008C3902"/>
  </w:endnote>
  <w:endnote w:type="continuationSeparator" w:id="0">
    <w:p w14:paraId="409396A8" w14:textId="77777777" w:rsidR="00DE6B97" w:rsidRDefault="00DE6B97" w:rsidP="008C3902">
      <w:r>
        <w:continuationSeparator/>
      </w:r>
    </w:p>
    <w:p w14:paraId="79078026" w14:textId="77777777" w:rsidR="00DE6B97" w:rsidRDefault="00DE6B97" w:rsidP="008C3902"/>
  </w:endnote>
  <w:endnote w:type="continuationNotice" w:id="1">
    <w:p w14:paraId="43E173ED" w14:textId="77777777" w:rsidR="00DE6B97" w:rsidRDefault="00DE6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ele-GroteskEERegular">
    <w:altName w:val="Times New Roman"/>
    <w:charset w:val="EE"/>
    <w:family w:val="auto"/>
    <w:pitch w:val="variable"/>
    <w:sig w:usb0="800000AF" w:usb1="0000204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08A8" w14:textId="77777777" w:rsidR="00CA60C2" w:rsidRDefault="00CA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1144" w14:textId="77777777" w:rsidR="00CA60C2" w:rsidRDefault="00CA6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8585" w14:textId="51934FF1" w:rsidR="00366F12" w:rsidRDefault="00366F12" w:rsidP="00120BC0">
    <w:pPr>
      <w:pStyle w:val="Footer"/>
      <w:pBdr>
        <w:bottom w:val="single" w:sz="4" w:space="1" w:color="7F7F7F" w:themeColor="text1" w:themeTint="80"/>
      </w:pBd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665E7" w14:textId="77777777" w:rsidR="00DE6B97" w:rsidRDefault="00DE6B97" w:rsidP="008C3902">
      <w:r>
        <w:separator/>
      </w:r>
    </w:p>
    <w:p w14:paraId="4B90423B" w14:textId="77777777" w:rsidR="00DE6B97" w:rsidRDefault="00DE6B97" w:rsidP="008C3902"/>
  </w:footnote>
  <w:footnote w:type="continuationSeparator" w:id="0">
    <w:p w14:paraId="405E6A05" w14:textId="77777777" w:rsidR="00DE6B97" w:rsidRDefault="00DE6B97" w:rsidP="008C3902">
      <w:r>
        <w:continuationSeparator/>
      </w:r>
    </w:p>
    <w:p w14:paraId="01161C69" w14:textId="77777777" w:rsidR="00DE6B97" w:rsidRDefault="00DE6B97" w:rsidP="008C3902"/>
  </w:footnote>
  <w:footnote w:type="continuationNotice" w:id="1">
    <w:p w14:paraId="3BB36EB0" w14:textId="77777777" w:rsidR="00DE6B97" w:rsidRDefault="00DE6B97"/>
  </w:footnote>
  <w:footnote w:id="2">
    <w:p w14:paraId="754BF4DF" w14:textId="77777777" w:rsidR="00366F12" w:rsidRPr="0034085B" w:rsidRDefault="00366F12" w:rsidP="00D3077B">
      <w:pPr>
        <w:pStyle w:val="FootnoteText"/>
      </w:pPr>
      <w:r>
        <w:rPr>
          <w:rStyle w:val="FootnoteReference"/>
        </w:rPr>
        <w:footnoteRef/>
      </w:r>
      <w:r>
        <w:t xml:space="preserve"> </w:t>
      </w:r>
      <w:r w:rsidRPr="0034085B">
        <w:t>V súlade s ustanovením ZVM je príjemcom vybraného mýta na cestách I. triedy NDS, bez ohľadu na skutočnosť, že správu ciest I. triedy vykonáva Slovenská správa ciest.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B149" w14:textId="77777777" w:rsidR="00CA60C2" w:rsidRDefault="00CA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92E8" w14:textId="51145DA5" w:rsidR="00366F12" w:rsidRPr="00120BC0" w:rsidRDefault="00366F12" w:rsidP="00120BC0">
    <w:pPr>
      <w:pStyle w:val="Header"/>
      <w:spacing w:before="0" w:after="0"/>
      <w:rPr>
        <w:color w:val="767171" w:themeColor="background2" w:themeShade="80"/>
        <w:sz w:val="18"/>
      </w:rPr>
    </w:pPr>
    <w:r w:rsidRPr="00120BC0">
      <w:rPr>
        <w:color w:val="767171" w:themeColor="background2" w:themeShade="80"/>
        <w:sz w:val="18"/>
      </w:rPr>
      <w:t>Implementácia EETS</w:t>
    </w:r>
    <w:r>
      <w:rPr>
        <w:color w:val="767171" w:themeColor="background2" w:themeShade="80"/>
        <w:sz w:val="18"/>
      </w:rPr>
      <w:tab/>
    </w:r>
    <w:r>
      <w:rPr>
        <w:color w:val="767171" w:themeColor="background2" w:themeShade="80"/>
        <w:sz w:val="18"/>
      </w:rPr>
      <w:tab/>
    </w:r>
  </w:p>
  <w:p w14:paraId="603B2F75" w14:textId="4A010037" w:rsidR="00366F12" w:rsidRPr="00120BC0" w:rsidRDefault="00366F12" w:rsidP="00120BC0">
    <w:pPr>
      <w:pStyle w:val="Header"/>
      <w:pBdr>
        <w:bottom w:val="single" w:sz="4" w:space="1" w:color="7F7F7F" w:themeColor="text1" w:themeTint="80"/>
      </w:pBdr>
      <w:tabs>
        <w:tab w:val="clear" w:pos="9072"/>
        <w:tab w:val="left" w:pos="7938"/>
        <w:tab w:val="right" w:pos="8789"/>
      </w:tabs>
      <w:spacing w:before="0" w:after="0"/>
      <w:rPr>
        <w:color w:val="767171" w:themeColor="background2" w:themeShade="80"/>
        <w:sz w:val="18"/>
      </w:rPr>
    </w:pPr>
    <w:r w:rsidRPr="00120BC0">
      <w:rPr>
        <w:color w:val="767171" w:themeColor="background2" w:themeShade="80"/>
        <w:sz w:val="18"/>
      </w:rPr>
      <w:t>CBA analýza</w:t>
    </w:r>
    <w:r w:rsidRPr="00120BC0">
      <w:rPr>
        <w:color w:val="767171" w:themeColor="background2" w:themeShade="80"/>
        <w:sz w:val="18"/>
      </w:rPr>
      <w:tab/>
    </w:r>
    <w:r>
      <w:rPr>
        <w:sz w:val="18"/>
      </w:rPr>
      <w:tab/>
    </w:r>
    <w:r w:rsidRPr="00120BC0">
      <w:rPr>
        <w:color w:val="767171" w:themeColor="background2" w:themeShade="80"/>
        <w:sz w:val="18"/>
      </w:rPr>
      <w:t xml:space="preserve">Strana </w:t>
    </w:r>
    <w:r w:rsidRPr="00120BC0">
      <w:rPr>
        <w:color w:val="767171" w:themeColor="background2" w:themeShade="80"/>
        <w:sz w:val="18"/>
      </w:rPr>
      <w:tab/>
    </w:r>
    <w:r w:rsidRPr="00120BC0">
      <w:rPr>
        <w:color w:val="767171" w:themeColor="background2" w:themeShade="80"/>
        <w:sz w:val="18"/>
      </w:rPr>
      <w:fldChar w:fldCharType="begin"/>
    </w:r>
    <w:r w:rsidRPr="00120BC0">
      <w:rPr>
        <w:color w:val="767171" w:themeColor="background2" w:themeShade="80"/>
        <w:sz w:val="18"/>
      </w:rPr>
      <w:instrText xml:space="preserve"> PAGE  \* Arabic  \* MERGEFORMAT </w:instrText>
    </w:r>
    <w:r w:rsidRPr="00120BC0">
      <w:rPr>
        <w:color w:val="767171" w:themeColor="background2" w:themeShade="80"/>
        <w:sz w:val="18"/>
      </w:rPr>
      <w:fldChar w:fldCharType="separate"/>
    </w:r>
    <w:r w:rsidR="00CA60C2">
      <w:rPr>
        <w:noProof/>
        <w:color w:val="767171" w:themeColor="background2" w:themeShade="80"/>
        <w:sz w:val="18"/>
      </w:rPr>
      <w:t>6</w:t>
    </w:r>
    <w:r w:rsidRPr="00120BC0">
      <w:rPr>
        <w:color w:val="767171" w:themeColor="background2" w:themeShade="80"/>
        <w:sz w:val="18"/>
      </w:rPr>
      <w:fldChar w:fldCharType="end"/>
    </w:r>
    <w:r w:rsidRPr="00120BC0">
      <w:rPr>
        <w:color w:val="767171" w:themeColor="background2" w:themeShade="80"/>
        <w:sz w:val="18"/>
      </w:rPr>
      <w:t xml:space="preserve"> z </w:t>
    </w:r>
    <w:r w:rsidRPr="00120BC0">
      <w:rPr>
        <w:color w:val="767171" w:themeColor="background2" w:themeShade="80"/>
        <w:sz w:val="18"/>
      </w:rPr>
      <w:fldChar w:fldCharType="begin"/>
    </w:r>
    <w:r w:rsidRPr="00120BC0">
      <w:rPr>
        <w:color w:val="767171" w:themeColor="background2" w:themeShade="80"/>
        <w:sz w:val="18"/>
      </w:rPr>
      <w:instrText xml:space="preserve"> NUMPAGES  \* Arabic  \* MERGEFORMAT </w:instrText>
    </w:r>
    <w:r w:rsidRPr="00120BC0">
      <w:rPr>
        <w:color w:val="767171" w:themeColor="background2" w:themeShade="80"/>
        <w:sz w:val="18"/>
      </w:rPr>
      <w:fldChar w:fldCharType="separate"/>
    </w:r>
    <w:r w:rsidR="00CA60C2">
      <w:rPr>
        <w:noProof/>
        <w:color w:val="767171" w:themeColor="background2" w:themeShade="80"/>
        <w:sz w:val="18"/>
      </w:rPr>
      <w:t>60</w:t>
    </w:r>
    <w:r w:rsidRPr="00120BC0">
      <w:rPr>
        <w:color w:val="767171" w:themeColor="background2" w:themeShade="80"/>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C88A" w14:textId="77777777" w:rsidR="00CA60C2" w:rsidRDefault="00C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7D2AD6A"/>
    <w:lvl w:ilvl="0">
      <w:start w:val="1"/>
      <w:numFmt w:val="bullet"/>
      <w:pStyle w:val="ListBullet4"/>
      <w:lvlText w:val=""/>
      <w:lvlJc w:val="left"/>
      <w:pPr>
        <w:ind w:left="1440" w:hanging="360"/>
      </w:pPr>
      <w:rPr>
        <w:rFonts w:ascii="Symbol" w:hAnsi="Symbol" w:hint="default"/>
        <w:color w:val="44546A" w:themeColor="text2"/>
      </w:rPr>
    </w:lvl>
  </w:abstractNum>
  <w:abstractNum w:abstractNumId="1" w15:restartNumberingAfterBreak="0">
    <w:nsid w:val="FFFFFF82"/>
    <w:multiLevelType w:val="singleLevel"/>
    <w:tmpl w:val="AD622790"/>
    <w:lvl w:ilvl="0">
      <w:start w:val="1"/>
      <w:numFmt w:val="bullet"/>
      <w:pStyle w:val="ListBullet3"/>
      <w:lvlText w:val=""/>
      <w:lvlJc w:val="left"/>
      <w:pPr>
        <w:ind w:left="1080" w:hanging="360"/>
      </w:pPr>
      <w:rPr>
        <w:rFonts w:ascii="Symbol" w:hAnsi="Symbol" w:hint="default"/>
        <w:color w:val="44546A" w:themeColor="text2"/>
      </w:rPr>
    </w:lvl>
  </w:abstractNum>
  <w:abstractNum w:abstractNumId="2" w15:restartNumberingAfterBreak="0">
    <w:nsid w:val="FFFFFF83"/>
    <w:multiLevelType w:val="singleLevel"/>
    <w:tmpl w:val="4440C55E"/>
    <w:lvl w:ilvl="0">
      <w:start w:val="1"/>
      <w:numFmt w:val="bullet"/>
      <w:pStyle w:val="ListBullet2"/>
      <w:lvlText w:val=""/>
      <w:lvlJc w:val="left"/>
      <w:pPr>
        <w:ind w:left="720" w:hanging="360"/>
      </w:pPr>
      <w:rPr>
        <w:rFonts w:ascii="Symbol" w:hAnsi="Symbol" w:hint="default"/>
        <w:color w:val="44546A" w:themeColor="text2"/>
      </w:rPr>
    </w:lvl>
  </w:abstractNum>
  <w:abstractNum w:abstractNumId="3" w15:restartNumberingAfterBreak="0">
    <w:nsid w:val="FFFFFF89"/>
    <w:multiLevelType w:val="singleLevel"/>
    <w:tmpl w:val="73CA6BC0"/>
    <w:lvl w:ilvl="0">
      <w:start w:val="1"/>
      <w:numFmt w:val="bullet"/>
      <w:pStyle w:val="ListBullet"/>
      <w:lvlText w:val=""/>
      <w:lvlJc w:val="left"/>
      <w:pPr>
        <w:ind w:left="360" w:hanging="360"/>
      </w:pPr>
      <w:rPr>
        <w:rFonts w:ascii="Symbol" w:hAnsi="Symbol" w:hint="default"/>
        <w:color w:val="44546A" w:themeColor="text2"/>
      </w:rPr>
    </w:lvl>
  </w:abstractNum>
  <w:abstractNum w:abstractNumId="4" w15:restartNumberingAfterBreak="0">
    <w:nsid w:val="04CE02FF"/>
    <w:multiLevelType w:val="hybridMultilevel"/>
    <w:tmpl w:val="23028C1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4C0B4A"/>
    <w:multiLevelType w:val="hybridMultilevel"/>
    <w:tmpl w:val="9B1AC6C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D385BA8"/>
    <w:multiLevelType w:val="multilevel"/>
    <w:tmpl w:val="39EC75D6"/>
    <w:numStyleLink w:val="CGI-Appendix"/>
  </w:abstractNum>
  <w:abstractNum w:abstractNumId="7" w15:restartNumberingAfterBreak="0">
    <w:nsid w:val="138F0B4B"/>
    <w:multiLevelType w:val="hybridMultilevel"/>
    <w:tmpl w:val="831C2CBC"/>
    <w:lvl w:ilvl="0" w:tplc="30F2F8BC">
      <w:start w:val="1"/>
      <w:numFmt w:val="bullet"/>
      <w:pStyle w:val="odrka1"/>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2A6F"/>
    <w:multiLevelType w:val="hybridMultilevel"/>
    <w:tmpl w:val="B01A4E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42F9F"/>
    <w:multiLevelType w:val="hybridMultilevel"/>
    <w:tmpl w:val="40846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70E0B28"/>
    <w:multiLevelType w:val="hybridMultilevel"/>
    <w:tmpl w:val="8BA81AEA"/>
    <w:lvl w:ilvl="0" w:tplc="E75C63CC">
      <w:start w:val="1"/>
      <w:numFmt w:val="upperLetter"/>
      <w:pStyle w:val="AppendixHeading"/>
      <w:lvlText w:val="%1"/>
      <w:lvlJc w:val="left"/>
      <w:pPr>
        <w:tabs>
          <w:tab w:val="num" w:pos="0"/>
        </w:tabs>
        <w:ind w:hanging="851"/>
      </w:pPr>
      <w:rPr>
        <w:rFonts w:cs="Times New Roman" w:hint="default"/>
      </w:rPr>
    </w:lvl>
    <w:lvl w:ilvl="1" w:tplc="FE6E49D0" w:tentative="1">
      <w:start w:val="1"/>
      <w:numFmt w:val="lowerLetter"/>
      <w:lvlText w:val="%2."/>
      <w:lvlJc w:val="left"/>
      <w:pPr>
        <w:tabs>
          <w:tab w:val="num" w:pos="1440"/>
        </w:tabs>
        <w:ind w:left="1440" w:hanging="360"/>
      </w:pPr>
      <w:rPr>
        <w:rFonts w:cs="Times New Roman"/>
      </w:rPr>
    </w:lvl>
    <w:lvl w:ilvl="2" w:tplc="34E477D8" w:tentative="1">
      <w:start w:val="1"/>
      <w:numFmt w:val="lowerRoman"/>
      <w:lvlText w:val="%3."/>
      <w:lvlJc w:val="right"/>
      <w:pPr>
        <w:tabs>
          <w:tab w:val="num" w:pos="2160"/>
        </w:tabs>
        <w:ind w:left="2160" w:hanging="180"/>
      </w:pPr>
      <w:rPr>
        <w:rFonts w:cs="Times New Roman"/>
      </w:rPr>
    </w:lvl>
    <w:lvl w:ilvl="3" w:tplc="FBC8CB98" w:tentative="1">
      <w:start w:val="1"/>
      <w:numFmt w:val="decimal"/>
      <w:lvlText w:val="%4."/>
      <w:lvlJc w:val="left"/>
      <w:pPr>
        <w:tabs>
          <w:tab w:val="num" w:pos="2880"/>
        </w:tabs>
        <w:ind w:left="2880" w:hanging="360"/>
      </w:pPr>
      <w:rPr>
        <w:rFonts w:cs="Times New Roman"/>
      </w:rPr>
    </w:lvl>
    <w:lvl w:ilvl="4" w:tplc="07D86DE0" w:tentative="1">
      <w:start w:val="1"/>
      <w:numFmt w:val="lowerLetter"/>
      <w:lvlText w:val="%5."/>
      <w:lvlJc w:val="left"/>
      <w:pPr>
        <w:tabs>
          <w:tab w:val="num" w:pos="3600"/>
        </w:tabs>
        <w:ind w:left="3600" w:hanging="360"/>
      </w:pPr>
      <w:rPr>
        <w:rFonts w:cs="Times New Roman"/>
      </w:rPr>
    </w:lvl>
    <w:lvl w:ilvl="5" w:tplc="92B00FD4" w:tentative="1">
      <w:start w:val="1"/>
      <w:numFmt w:val="lowerRoman"/>
      <w:lvlText w:val="%6."/>
      <w:lvlJc w:val="right"/>
      <w:pPr>
        <w:tabs>
          <w:tab w:val="num" w:pos="4320"/>
        </w:tabs>
        <w:ind w:left="4320" w:hanging="180"/>
      </w:pPr>
      <w:rPr>
        <w:rFonts w:cs="Times New Roman"/>
      </w:rPr>
    </w:lvl>
    <w:lvl w:ilvl="6" w:tplc="B154765A" w:tentative="1">
      <w:start w:val="1"/>
      <w:numFmt w:val="decimal"/>
      <w:lvlText w:val="%7."/>
      <w:lvlJc w:val="left"/>
      <w:pPr>
        <w:tabs>
          <w:tab w:val="num" w:pos="5040"/>
        </w:tabs>
        <w:ind w:left="5040" w:hanging="360"/>
      </w:pPr>
      <w:rPr>
        <w:rFonts w:cs="Times New Roman"/>
      </w:rPr>
    </w:lvl>
    <w:lvl w:ilvl="7" w:tplc="F3ACD91C" w:tentative="1">
      <w:start w:val="1"/>
      <w:numFmt w:val="lowerLetter"/>
      <w:lvlText w:val="%8."/>
      <w:lvlJc w:val="left"/>
      <w:pPr>
        <w:tabs>
          <w:tab w:val="num" w:pos="5760"/>
        </w:tabs>
        <w:ind w:left="5760" w:hanging="360"/>
      </w:pPr>
      <w:rPr>
        <w:rFonts w:cs="Times New Roman"/>
      </w:rPr>
    </w:lvl>
    <w:lvl w:ilvl="8" w:tplc="A130512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7667C6"/>
    <w:multiLevelType w:val="hybridMultilevel"/>
    <w:tmpl w:val="45787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8C14FC"/>
    <w:multiLevelType w:val="multilevel"/>
    <w:tmpl w:val="6B146EC8"/>
    <w:lvl w:ilvl="0">
      <w:start w:val="1"/>
      <w:numFmt w:val="bullet"/>
      <w:pStyle w:val="BodyTextBulleted"/>
      <w:lvlText w:val="•"/>
      <w:lvlJc w:val="left"/>
      <w:pPr>
        <w:tabs>
          <w:tab w:val="num" w:pos="284"/>
        </w:tabs>
        <w:ind w:left="284" w:hanging="284"/>
      </w:pPr>
      <w:rPr>
        <w:rFonts w:ascii="Times New Roman" w:hAnsi="Times New Roman" w:hint="default"/>
        <w:b w:val="0"/>
        <w:i w:val="0"/>
        <w:color w:val="auto"/>
        <w:sz w:val="18"/>
      </w:rPr>
    </w:lvl>
    <w:lvl w:ilvl="1">
      <w:start w:val="1"/>
      <w:numFmt w:val="bullet"/>
      <w:lvlText w:val="–"/>
      <w:lvlJc w:val="left"/>
      <w:pPr>
        <w:tabs>
          <w:tab w:val="num" w:pos="567"/>
        </w:tabs>
        <w:ind w:left="567" w:hanging="283"/>
      </w:pPr>
      <w:rPr>
        <w:rFonts w:ascii="Verdana" w:hAnsi="Verdana" w:hint="default"/>
        <w:b w:val="0"/>
        <w:i w:val="0"/>
        <w:color w:val="auto"/>
        <w:sz w:val="18"/>
      </w:rPr>
    </w:lvl>
    <w:lvl w:ilvl="2">
      <w:start w:val="1"/>
      <w:numFmt w:val="bullet"/>
      <w:lvlText w:val=""/>
      <w:lvlJc w:val="left"/>
      <w:pPr>
        <w:tabs>
          <w:tab w:val="num" w:pos="1080"/>
        </w:tabs>
        <w:ind w:left="1080" w:hanging="360"/>
      </w:pPr>
      <w:rPr>
        <w:rFonts w:ascii="Symbol" w:hAnsi="Symbol" w:hint="default"/>
        <w:b w:val="0"/>
        <w:i w:val="0"/>
        <w:sz w:val="22"/>
      </w:rPr>
    </w:lvl>
    <w:lvl w:ilvl="3">
      <w:start w:val="1"/>
      <w:numFmt w:val="bullet"/>
      <w:lvlText w:val=""/>
      <w:lvlJc w:val="left"/>
      <w:pPr>
        <w:tabs>
          <w:tab w:val="num" w:pos="1440"/>
        </w:tabs>
        <w:ind w:left="1440" w:hanging="360"/>
      </w:pPr>
      <w:rPr>
        <w:rFonts w:ascii="Symbol" w:hAnsi="Symbol" w:hint="default"/>
        <w:b w:val="0"/>
        <w:i w:val="0"/>
        <w:sz w:val="22"/>
      </w:rPr>
    </w:lvl>
    <w:lvl w:ilvl="4">
      <w:start w:val="1"/>
      <w:numFmt w:val="bullet"/>
      <w:lvlText w:val=""/>
      <w:lvlJc w:val="left"/>
      <w:pPr>
        <w:tabs>
          <w:tab w:val="num" w:pos="1728"/>
        </w:tabs>
        <w:ind w:left="1728" w:hanging="288"/>
      </w:pPr>
      <w:rPr>
        <w:rFonts w:ascii="Symbol" w:hAnsi="Symbol" w:hint="default"/>
        <w:b w:val="0"/>
        <w:i w:val="0"/>
        <w:sz w:val="22"/>
      </w:rPr>
    </w:lvl>
    <w:lvl w:ilvl="5">
      <w:start w:val="1"/>
      <w:numFmt w:val="bullet"/>
      <w:lvlText w:val=""/>
      <w:lvlJc w:val="left"/>
      <w:pPr>
        <w:tabs>
          <w:tab w:val="num" w:pos="2666"/>
        </w:tabs>
        <w:ind w:left="2666" w:hanging="397"/>
      </w:pPr>
      <w:rPr>
        <w:rFonts w:ascii="Symbol" w:hAnsi="Symbol" w:hint="default"/>
        <w:b w:val="0"/>
        <w:i w:val="0"/>
        <w:sz w:val="22"/>
      </w:rPr>
    </w:lvl>
    <w:lvl w:ilvl="6">
      <w:start w:val="1"/>
      <w:numFmt w:val="bullet"/>
      <w:lvlText w:val=""/>
      <w:lvlJc w:val="left"/>
      <w:pPr>
        <w:tabs>
          <w:tab w:val="num" w:pos="3062"/>
        </w:tabs>
        <w:ind w:left="3062" w:hanging="396"/>
      </w:pPr>
      <w:rPr>
        <w:rFonts w:ascii="Symbol" w:hAnsi="Symbol" w:hint="default"/>
        <w:b w:val="0"/>
        <w:i w:val="0"/>
        <w:sz w:val="22"/>
      </w:rPr>
    </w:lvl>
    <w:lvl w:ilvl="7">
      <w:start w:val="1"/>
      <w:numFmt w:val="bullet"/>
      <w:lvlText w:val=""/>
      <w:lvlJc w:val="left"/>
      <w:pPr>
        <w:tabs>
          <w:tab w:val="num" w:pos="3459"/>
        </w:tabs>
        <w:ind w:left="3459" w:hanging="397"/>
      </w:pPr>
      <w:rPr>
        <w:rFonts w:ascii="Symbol" w:hAnsi="Symbol" w:hint="default"/>
        <w:b w:val="0"/>
        <w:i w:val="0"/>
        <w:sz w:val="22"/>
      </w:rPr>
    </w:lvl>
    <w:lvl w:ilvl="8">
      <w:start w:val="1"/>
      <w:numFmt w:val="bullet"/>
      <w:lvlText w:val=""/>
      <w:lvlJc w:val="left"/>
      <w:pPr>
        <w:tabs>
          <w:tab w:val="num" w:pos="3856"/>
        </w:tabs>
        <w:ind w:left="3856" w:hanging="397"/>
      </w:pPr>
      <w:rPr>
        <w:rFonts w:ascii="Symbol" w:hAnsi="Symbol" w:hint="default"/>
        <w:b w:val="0"/>
        <w:i w:val="0"/>
        <w:sz w:val="22"/>
      </w:rPr>
    </w:lvl>
  </w:abstractNum>
  <w:abstractNum w:abstractNumId="13" w15:restartNumberingAfterBreak="0">
    <w:nsid w:val="2AB22975"/>
    <w:multiLevelType w:val="multilevel"/>
    <w:tmpl w:val="FE5E258A"/>
    <w:lvl w:ilvl="0">
      <w:start w:val="1"/>
      <w:numFmt w:val="decimal"/>
      <w:pStyle w:val="BodyTextNumbered"/>
      <w:lvlText w:val="%1."/>
      <w:lvlJc w:val="left"/>
      <w:pPr>
        <w:tabs>
          <w:tab w:val="num" w:pos="284"/>
        </w:tabs>
        <w:ind w:left="284" w:hanging="284"/>
      </w:pPr>
      <w:rPr>
        <w:rFonts w:ascii="Arial" w:hAnsi="Arial" w:cs="Arial" w:hint="default"/>
        <w:b w:val="0"/>
        <w:i w:val="0"/>
        <w:spacing w:val="8"/>
        <w:sz w:val="18"/>
        <w:szCs w:val="18"/>
      </w:rPr>
    </w:lvl>
    <w:lvl w:ilvl="1">
      <w:start w:val="1"/>
      <w:numFmt w:val="lowerLetter"/>
      <w:lvlText w:val="%2."/>
      <w:lvlJc w:val="left"/>
      <w:pPr>
        <w:tabs>
          <w:tab w:val="num" w:pos="567"/>
        </w:tabs>
        <w:ind w:left="567" w:hanging="283"/>
      </w:pPr>
      <w:rPr>
        <w:rFonts w:ascii="Arial" w:hAnsi="Arial" w:cs="Arial" w:hint="default"/>
        <w:b w:val="0"/>
        <w:i w:val="0"/>
        <w:spacing w:val="8"/>
        <w:sz w:val="18"/>
        <w:szCs w:val="18"/>
      </w:rPr>
    </w:lvl>
    <w:lvl w:ilvl="2">
      <w:start w:val="1"/>
      <w:numFmt w:val="lowerLetter"/>
      <w:lvlText w:val="%3."/>
      <w:lvlJc w:val="left"/>
      <w:pPr>
        <w:tabs>
          <w:tab w:val="num" w:pos="1475"/>
        </w:tabs>
        <w:ind w:left="1475" w:hanging="397"/>
      </w:pPr>
      <w:rPr>
        <w:rFonts w:ascii="Arial" w:hAnsi="Arial" w:cs="Arial" w:hint="default"/>
        <w:b w:val="0"/>
        <w:i w:val="0"/>
        <w:sz w:val="18"/>
        <w:szCs w:val="18"/>
      </w:rPr>
    </w:lvl>
    <w:lvl w:ilvl="3">
      <w:start w:val="1"/>
      <w:numFmt w:val="decimal"/>
      <w:lvlText w:val="%4."/>
      <w:lvlJc w:val="left"/>
      <w:pPr>
        <w:tabs>
          <w:tab w:val="num" w:pos="1872"/>
        </w:tabs>
        <w:ind w:left="1872" w:hanging="397"/>
      </w:pPr>
      <w:rPr>
        <w:rFonts w:ascii="Arial" w:hAnsi="Arial" w:cs="Arial" w:hint="default"/>
        <w:b w:val="0"/>
        <w:i w:val="0"/>
        <w:sz w:val="18"/>
        <w:szCs w:val="18"/>
      </w:rPr>
    </w:lvl>
    <w:lvl w:ilvl="4">
      <w:start w:val="1"/>
      <w:numFmt w:val="lowerLetter"/>
      <w:lvlText w:val="%5."/>
      <w:lvlJc w:val="left"/>
      <w:pPr>
        <w:tabs>
          <w:tab w:val="num" w:pos="2269"/>
        </w:tabs>
        <w:ind w:left="2269" w:hanging="397"/>
      </w:pPr>
      <w:rPr>
        <w:rFonts w:ascii="Times New Roman" w:hAnsi="Times New Roman" w:cs="Times New Roman" w:hint="default"/>
        <w:b w:val="0"/>
        <w:i w:val="0"/>
        <w:sz w:val="22"/>
      </w:rPr>
    </w:lvl>
    <w:lvl w:ilvl="5">
      <w:start w:val="1"/>
      <w:numFmt w:val="lowerRoman"/>
      <w:lvlText w:val="%6)"/>
      <w:lvlJc w:val="left"/>
      <w:pPr>
        <w:tabs>
          <w:tab w:val="num" w:pos="2666"/>
        </w:tabs>
        <w:ind w:left="2666" w:hanging="397"/>
      </w:pPr>
      <w:rPr>
        <w:rFonts w:ascii="Times New Roman" w:hAnsi="Times New Roman" w:cs="Times New Roman" w:hint="default"/>
        <w:b w:val="0"/>
        <w:i w:val="0"/>
        <w:sz w:val="22"/>
      </w:rPr>
    </w:lvl>
    <w:lvl w:ilvl="6">
      <w:start w:val="1"/>
      <w:numFmt w:val="lowerLetter"/>
      <w:lvlText w:val="%7)"/>
      <w:lvlJc w:val="left"/>
      <w:pPr>
        <w:tabs>
          <w:tab w:val="num" w:pos="3062"/>
        </w:tabs>
        <w:ind w:left="3062" w:hanging="396"/>
      </w:pPr>
      <w:rPr>
        <w:rFonts w:ascii="Times New Roman" w:hAnsi="Times New Roman" w:cs="Times New Roman" w:hint="default"/>
        <w:b w:val="0"/>
        <w:i w:val="0"/>
        <w:sz w:val="22"/>
      </w:rPr>
    </w:lvl>
    <w:lvl w:ilvl="7">
      <w:start w:val="1"/>
      <w:numFmt w:val="decimal"/>
      <w:lvlText w:val="%8)"/>
      <w:lvlJc w:val="left"/>
      <w:pPr>
        <w:tabs>
          <w:tab w:val="num" w:pos="3459"/>
        </w:tabs>
        <w:ind w:left="3459" w:hanging="397"/>
      </w:pPr>
      <w:rPr>
        <w:rFonts w:ascii="Times New Roman" w:hAnsi="Times New Roman" w:cs="Times New Roman" w:hint="default"/>
        <w:b w:val="0"/>
        <w:i w:val="0"/>
        <w:sz w:val="22"/>
      </w:rPr>
    </w:lvl>
    <w:lvl w:ilvl="8">
      <w:start w:val="1"/>
      <w:numFmt w:val="lowerLetter"/>
      <w:lvlText w:val="%9)"/>
      <w:lvlJc w:val="left"/>
      <w:pPr>
        <w:tabs>
          <w:tab w:val="num" w:pos="3856"/>
        </w:tabs>
        <w:ind w:left="3856" w:hanging="397"/>
      </w:pPr>
      <w:rPr>
        <w:rFonts w:ascii="Times New Roman" w:hAnsi="Times New Roman" w:cs="Times New Roman" w:hint="default"/>
        <w:b w:val="0"/>
        <w:i w:val="0"/>
        <w:sz w:val="22"/>
      </w:rPr>
    </w:lvl>
  </w:abstractNum>
  <w:abstractNum w:abstractNumId="14" w15:restartNumberingAfterBreak="0">
    <w:nsid w:val="32E94B15"/>
    <w:multiLevelType w:val="hybridMultilevel"/>
    <w:tmpl w:val="545235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16" w15:restartNumberingAfterBreak="0">
    <w:nsid w:val="32FE73FE"/>
    <w:multiLevelType w:val="multilevel"/>
    <w:tmpl w:val="6F4E5F82"/>
    <w:lvl w:ilvl="0">
      <w:start w:val="1"/>
      <w:numFmt w:val="decimal"/>
      <w:lvlText w:val="TP%1"/>
      <w:lvlJc w:val="left"/>
      <w:pPr>
        <w:ind w:left="851" w:hanging="851"/>
      </w:pPr>
      <w:rPr>
        <w:rFonts w:hint="default"/>
      </w:rPr>
    </w:lvl>
    <w:lvl w:ilvl="1">
      <w:start w:val="1"/>
      <w:numFmt w:val="decimal"/>
      <w:pStyle w:val="ListParagraph"/>
      <w:lvlText w:val="TP%1.%2"/>
      <w:lvlJc w:val="left"/>
      <w:pPr>
        <w:ind w:left="851" w:hanging="851"/>
      </w:pPr>
      <w:rPr>
        <w:rFonts w:hint="default"/>
      </w:rPr>
    </w:lvl>
    <w:lvl w:ilvl="2">
      <w:start w:val="1"/>
      <w:numFmt w:val="decimal"/>
      <w:lvlText w:val="TP%1.%2.%3"/>
      <w:lvlJc w:val="left"/>
      <w:pPr>
        <w:ind w:left="851" w:hanging="851"/>
      </w:pPr>
      <w:rPr>
        <w:rFonts w:hint="default"/>
      </w:rPr>
    </w:lvl>
    <w:lvl w:ilvl="3">
      <w:start w:val="1"/>
      <w:numFmt w:val="lowerLetter"/>
      <w:lvlText w:val="%4)"/>
      <w:lvlJc w:val="left"/>
      <w:pPr>
        <w:ind w:left="1418" w:hanging="284"/>
      </w:pPr>
      <w:rPr>
        <w:rFonts w:hint="default"/>
      </w:rPr>
    </w:lvl>
    <w:lvl w:ilvl="4">
      <w:start w:val="1"/>
      <w:numFmt w:val="lowerRoman"/>
      <w:lvlText w:val="%5."/>
      <w:lvlJc w:val="left"/>
      <w:pPr>
        <w:ind w:left="1985" w:hanging="284"/>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pStyle w:val="Appendixheading2"/>
      <w:suff w:val="nothing"/>
      <w:lvlText w:val="%2"/>
      <w:lvlJc w:val="left"/>
      <w:pPr>
        <w:ind w:left="0" w:firstLine="0"/>
      </w:pPr>
      <w:rPr>
        <w:rFonts w:hint="default"/>
      </w:rPr>
    </w:lvl>
    <w:lvl w:ilvl="2">
      <w:start w:val="1"/>
      <w:numFmt w:val="none"/>
      <w:pStyle w:val="Appendixheading3"/>
      <w:suff w:val="nothing"/>
      <w:lvlText w:val="%2"/>
      <w:lvlJc w:val="left"/>
      <w:pPr>
        <w:ind w:left="0" w:firstLine="0"/>
      </w:pPr>
      <w:rPr>
        <w:rFonts w:hint="default"/>
      </w:rPr>
    </w:lvl>
    <w:lvl w:ilvl="3">
      <w:start w:val="1"/>
      <w:numFmt w:val="none"/>
      <w:pStyle w:val="Appendixheading4"/>
      <w:suff w:val="nothing"/>
      <w:lvlText w:val="%2"/>
      <w:lvlJc w:val="left"/>
      <w:pPr>
        <w:ind w:left="0" w:firstLine="0"/>
      </w:pPr>
      <w:rPr>
        <w:rFonts w:hint="default"/>
      </w:rPr>
    </w:lvl>
    <w:lvl w:ilvl="4">
      <w:start w:val="1"/>
      <w:numFmt w:val="none"/>
      <w:pStyle w:val="Appendixheading5"/>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8455B97"/>
    <w:multiLevelType w:val="hybridMultilevel"/>
    <w:tmpl w:val="D80866F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AB86FC0"/>
    <w:multiLevelType w:val="hybridMultilevel"/>
    <w:tmpl w:val="DE8A0854"/>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3CCD57D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C15959"/>
    <w:multiLevelType w:val="hybridMultilevel"/>
    <w:tmpl w:val="EE9EC16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DE517B"/>
    <w:multiLevelType w:val="hybridMultilevel"/>
    <w:tmpl w:val="3A645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1E6EA4"/>
    <w:multiLevelType w:val="hybridMultilevel"/>
    <w:tmpl w:val="AE7C72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48B32D71"/>
    <w:multiLevelType w:val="hybridMultilevel"/>
    <w:tmpl w:val="2E1C2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895A22"/>
    <w:multiLevelType w:val="hybridMultilevel"/>
    <w:tmpl w:val="282ED7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3D2E10"/>
    <w:multiLevelType w:val="hybridMultilevel"/>
    <w:tmpl w:val="B5B8D9F6"/>
    <w:styleLink w:val="Odrka"/>
    <w:lvl w:ilvl="0" w:tplc="40009C70">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A08EFCE">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4D145DE4">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7B24AE66">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02CC9918">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C6229958">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6F848D32">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50F8D29E">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79F2C978">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7" w15:restartNumberingAfterBreak="0">
    <w:nsid w:val="53C02B59"/>
    <w:multiLevelType w:val="hybridMultilevel"/>
    <w:tmpl w:val="5BE4C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7FA6866"/>
    <w:multiLevelType w:val="hybridMultilevel"/>
    <w:tmpl w:val="DF14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36153E"/>
    <w:multiLevelType w:val="hybridMultilevel"/>
    <w:tmpl w:val="9CF274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22745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E2221"/>
    <w:multiLevelType w:val="multilevel"/>
    <w:tmpl w:val="B14650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10E22DF"/>
    <w:multiLevelType w:val="hybridMultilevel"/>
    <w:tmpl w:val="9B9AFF34"/>
    <w:lvl w:ilvl="0" w:tplc="3C24C344">
      <w:start w:val="1"/>
      <w:numFmt w:val="decimal"/>
      <w:pStyle w:val="L-Numbered"/>
      <w:lvlText w:val="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B501F3E"/>
    <w:multiLevelType w:val="hybridMultilevel"/>
    <w:tmpl w:val="812A8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CE180C"/>
    <w:multiLevelType w:val="multilevel"/>
    <w:tmpl w:val="A4828506"/>
    <w:lvl w:ilvl="0">
      <w:start w:val="1"/>
      <w:numFmt w:val="bullet"/>
      <w:pStyle w:val="Q09Textbullet1"/>
      <w:lvlText w:val=""/>
      <w:lvlJc w:val="left"/>
      <w:pPr>
        <w:tabs>
          <w:tab w:val="num" w:pos="680"/>
        </w:tabs>
        <w:ind w:left="680" w:hanging="340"/>
      </w:pPr>
      <w:rPr>
        <w:rFonts w:ascii="Symbol" w:hAnsi="Symbol" w:hint="default"/>
      </w:rPr>
    </w:lvl>
    <w:lvl w:ilvl="1">
      <w:start w:val="1"/>
      <w:numFmt w:val="bullet"/>
      <w:pStyle w:val="Q10Textbullet2"/>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4472"/>
        </w:tabs>
        <w:ind w:left="4472" w:hanging="360"/>
      </w:pPr>
      <w:rPr>
        <w:rFonts w:ascii="Tele-GroteskEERegular" w:hAnsi="Tele-GroteskEERegular" w:hint="default"/>
      </w:rPr>
    </w:lvl>
    <w:lvl w:ilvl="3">
      <w:start w:val="1"/>
      <w:numFmt w:val="none"/>
      <w:lvlText w:val="%4"/>
      <w:lvlJc w:val="left"/>
      <w:pPr>
        <w:tabs>
          <w:tab w:val="num" w:pos="2880"/>
        </w:tabs>
        <w:ind w:left="2880" w:hanging="360"/>
      </w:pPr>
      <w:rPr>
        <w:rFonts w:ascii="Tahoma" w:hAnsi="Tahoma"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47EF3"/>
    <w:multiLevelType w:val="hybridMultilevel"/>
    <w:tmpl w:val="E1D665DA"/>
    <w:lvl w:ilvl="0" w:tplc="04050017">
      <w:start w:val="1"/>
      <w:numFmt w:val="lowerLetter"/>
      <w:lvlText w:val="%1)"/>
      <w:lvlJc w:val="left"/>
      <w:pPr>
        <w:ind w:left="720" w:hanging="360"/>
      </w:pPr>
      <w:rPr>
        <w:rFonts w:hint="default"/>
      </w:rPr>
    </w:lvl>
    <w:lvl w:ilvl="1" w:tplc="C5E68CC8">
      <w:start w:val="6"/>
      <w:numFmt w:val="bullet"/>
      <w:lvlText w:val="•"/>
      <w:lvlJc w:val="left"/>
      <w:pPr>
        <w:ind w:left="1935" w:hanging="85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444CC7"/>
    <w:multiLevelType w:val="hybridMultilevel"/>
    <w:tmpl w:val="6018E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9ED5EC1"/>
    <w:multiLevelType w:val="multilevel"/>
    <w:tmpl w:val="EF2AB474"/>
    <w:lvl w:ilvl="0">
      <w:start w:val="1"/>
      <w:numFmt w:val="bullet"/>
      <w:pStyle w:val="TableBulleted"/>
      <w:lvlText w:val="•"/>
      <w:lvlJc w:val="left"/>
      <w:pPr>
        <w:tabs>
          <w:tab w:val="num" w:pos="170"/>
        </w:tabs>
        <w:ind w:left="170" w:hanging="170"/>
      </w:pPr>
      <w:rPr>
        <w:rFonts w:ascii="Times New Roman" w:hAnsi="Times New Roman" w:hint="default"/>
        <w:b w:val="0"/>
        <w:i w:val="0"/>
        <w:color w:val="auto"/>
        <w:sz w:val="18"/>
      </w:rPr>
    </w:lvl>
    <w:lvl w:ilvl="1">
      <w:start w:val="1"/>
      <w:numFmt w:val="bullet"/>
      <w:lvlText w:val="–"/>
      <w:lvlJc w:val="left"/>
      <w:pPr>
        <w:tabs>
          <w:tab w:val="num" w:pos="397"/>
        </w:tabs>
        <w:ind w:left="397" w:hanging="227"/>
      </w:pPr>
      <w:rPr>
        <w:rFonts w:ascii="Verdana" w:hAnsi="Verdana" w:hint="default"/>
        <w:b w:val="0"/>
        <w:i w:val="0"/>
        <w:color w:val="auto"/>
        <w:sz w:val="18"/>
      </w:rPr>
    </w:lvl>
    <w:lvl w:ilvl="2">
      <w:start w:val="1"/>
      <w:numFmt w:val="bullet"/>
      <w:lvlText w:val=""/>
      <w:lvlJc w:val="left"/>
      <w:pPr>
        <w:tabs>
          <w:tab w:val="num" w:pos="1079"/>
        </w:tabs>
        <w:ind w:left="1079" w:hanging="360"/>
      </w:pPr>
      <w:rPr>
        <w:rFonts w:ascii="Symbol" w:hAnsi="Symbol" w:hint="default"/>
        <w:b w:val="0"/>
        <w:i w:val="0"/>
        <w:sz w:val="22"/>
      </w:rPr>
    </w:lvl>
    <w:lvl w:ilvl="3">
      <w:start w:val="1"/>
      <w:numFmt w:val="bullet"/>
      <w:lvlText w:val=""/>
      <w:lvlJc w:val="left"/>
      <w:pPr>
        <w:tabs>
          <w:tab w:val="num" w:pos="1439"/>
        </w:tabs>
        <w:ind w:left="1439" w:hanging="360"/>
      </w:pPr>
      <w:rPr>
        <w:rFonts w:ascii="Symbol" w:hAnsi="Symbol" w:hint="default"/>
        <w:b w:val="0"/>
        <w:i w:val="0"/>
        <w:sz w:val="22"/>
      </w:rPr>
    </w:lvl>
    <w:lvl w:ilvl="4">
      <w:start w:val="1"/>
      <w:numFmt w:val="bullet"/>
      <w:lvlText w:val=""/>
      <w:lvlJc w:val="left"/>
      <w:pPr>
        <w:tabs>
          <w:tab w:val="num" w:pos="1727"/>
        </w:tabs>
        <w:ind w:left="1727" w:hanging="288"/>
      </w:pPr>
      <w:rPr>
        <w:rFonts w:ascii="Symbol" w:hAnsi="Symbol" w:hint="default"/>
        <w:b w:val="0"/>
        <w:i w:val="0"/>
        <w:sz w:val="22"/>
      </w:rPr>
    </w:lvl>
    <w:lvl w:ilvl="5">
      <w:start w:val="1"/>
      <w:numFmt w:val="bullet"/>
      <w:lvlText w:val=""/>
      <w:lvlJc w:val="left"/>
      <w:pPr>
        <w:tabs>
          <w:tab w:val="num" w:pos="2665"/>
        </w:tabs>
        <w:ind w:left="2665" w:hanging="397"/>
      </w:pPr>
      <w:rPr>
        <w:rFonts w:ascii="Symbol" w:hAnsi="Symbol" w:hint="default"/>
        <w:b w:val="0"/>
        <w:i w:val="0"/>
        <w:sz w:val="22"/>
      </w:rPr>
    </w:lvl>
    <w:lvl w:ilvl="6">
      <w:start w:val="1"/>
      <w:numFmt w:val="bullet"/>
      <w:lvlText w:val=""/>
      <w:lvlJc w:val="left"/>
      <w:pPr>
        <w:tabs>
          <w:tab w:val="num" w:pos="3061"/>
        </w:tabs>
        <w:ind w:left="3061" w:hanging="396"/>
      </w:pPr>
      <w:rPr>
        <w:rFonts w:ascii="Symbol" w:hAnsi="Symbol" w:hint="default"/>
        <w:b w:val="0"/>
        <w:i w:val="0"/>
        <w:sz w:val="22"/>
      </w:rPr>
    </w:lvl>
    <w:lvl w:ilvl="7">
      <w:start w:val="1"/>
      <w:numFmt w:val="bullet"/>
      <w:lvlText w:val=""/>
      <w:lvlJc w:val="left"/>
      <w:pPr>
        <w:tabs>
          <w:tab w:val="num" w:pos="3458"/>
        </w:tabs>
        <w:ind w:left="3458" w:hanging="397"/>
      </w:pPr>
      <w:rPr>
        <w:rFonts w:ascii="Symbol" w:hAnsi="Symbol" w:hint="default"/>
        <w:b w:val="0"/>
        <w:i w:val="0"/>
        <w:sz w:val="22"/>
      </w:rPr>
    </w:lvl>
    <w:lvl w:ilvl="8">
      <w:start w:val="1"/>
      <w:numFmt w:val="bullet"/>
      <w:lvlText w:val=""/>
      <w:lvlJc w:val="left"/>
      <w:pPr>
        <w:tabs>
          <w:tab w:val="num" w:pos="3855"/>
        </w:tabs>
        <w:ind w:left="3855" w:hanging="397"/>
      </w:pPr>
      <w:rPr>
        <w:rFonts w:ascii="Symbol" w:hAnsi="Symbol" w:hint="default"/>
        <w:b w:val="0"/>
        <w:i w:val="0"/>
        <w:sz w:val="22"/>
      </w:rPr>
    </w:lvl>
  </w:abstractNum>
  <w:abstractNum w:abstractNumId="38" w15:restartNumberingAfterBreak="0">
    <w:nsid w:val="7ACA74DD"/>
    <w:multiLevelType w:val="hybridMultilevel"/>
    <w:tmpl w:val="35044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B51922"/>
    <w:multiLevelType w:val="hybridMultilevel"/>
    <w:tmpl w:val="A796B6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C2B60B2"/>
    <w:multiLevelType w:val="hybridMultilevel"/>
    <w:tmpl w:val="CFCC4404"/>
    <w:lvl w:ilvl="0" w:tplc="381E4F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1"/>
  </w:num>
  <w:num w:numId="3">
    <w:abstractNumId w:val="16"/>
  </w:num>
  <w:num w:numId="4">
    <w:abstractNumId w:val="32"/>
  </w:num>
  <w:num w:numId="5">
    <w:abstractNumId w:val="26"/>
  </w:num>
  <w:num w:numId="6">
    <w:abstractNumId w:val="3"/>
  </w:num>
  <w:num w:numId="7">
    <w:abstractNumId w:val="2"/>
  </w:num>
  <w:num w:numId="8">
    <w:abstractNumId w:val="1"/>
  </w:num>
  <w:num w:numId="9">
    <w:abstractNumId w:val="0"/>
  </w:num>
  <w:num w:numId="10">
    <w:abstractNumId w:val="15"/>
  </w:num>
  <w:num w:numId="11">
    <w:abstractNumId w:val="17"/>
  </w:num>
  <w:num w:numId="12">
    <w:abstractNumId w:val="6"/>
  </w:num>
  <w:num w:numId="13">
    <w:abstractNumId w:val="12"/>
  </w:num>
  <w:num w:numId="14">
    <w:abstractNumId w:val="13"/>
  </w:num>
  <w:num w:numId="15">
    <w:abstractNumId w:val="37"/>
  </w:num>
  <w:num w:numId="16">
    <w:abstractNumId w:val="10"/>
  </w:num>
  <w:num w:numId="17">
    <w:abstractNumId w:val="34"/>
  </w:num>
  <w:num w:numId="18">
    <w:abstractNumId w:val="25"/>
  </w:num>
  <w:num w:numId="19">
    <w:abstractNumId w:val="19"/>
  </w:num>
  <w:num w:numId="20">
    <w:abstractNumId w:val="9"/>
  </w:num>
  <w:num w:numId="21">
    <w:abstractNumId w:val="36"/>
  </w:num>
  <w:num w:numId="22">
    <w:abstractNumId w:val="27"/>
  </w:num>
  <w:num w:numId="23">
    <w:abstractNumId w:val="18"/>
  </w:num>
  <w:num w:numId="24">
    <w:abstractNumId w:val="38"/>
  </w:num>
  <w:num w:numId="25">
    <w:abstractNumId w:val="40"/>
  </w:num>
  <w:num w:numId="26">
    <w:abstractNumId w:val="21"/>
  </w:num>
  <w:num w:numId="27">
    <w:abstractNumId w:val="35"/>
  </w:num>
  <w:num w:numId="28">
    <w:abstractNumId w:val="30"/>
  </w:num>
  <w:num w:numId="29">
    <w:abstractNumId w:val="33"/>
  </w:num>
  <w:num w:numId="30">
    <w:abstractNumId w:val="39"/>
  </w:num>
  <w:num w:numId="31">
    <w:abstractNumId w:val="14"/>
  </w:num>
  <w:num w:numId="32">
    <w:abstractNumId w:val="23"/>
  </w:num>
  <w:num w:numId="33">
    <w:abstractNumId w:val="28"/>
  </w:num>
  <w:num w:numId="34">
    <w:abstractNumId w:val="24"/>
  </w:num>
  <w:num w:numId="35">
    <w:abstractNumId w:val="5"/>
  </w:num>
  <w:num w:numId="36">
    <w:abstractNumId w:val="22"/>
  </w:num>
  <w:num w:numId="37">
    <w:abstractNumId w:val="11"/>
  </w:num>
  <w:num w:numId="38">
    <w:abstractNumId w:val="29"/>
  </w:num>
  <w:num w:numId="39">
    <w:abstractNumId w:val="8"/>
  </w:num>
  <w:num w:numId="40">
    <w:abstractNumId w:val="4"/>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E1"/>
    <w:rsid w:val="00001882"/>
    <w:rsid w:val="000045E2"/>
    <w:rsid w:val="00007A56"/>
    <w:rsid w:val="00007F47"/>
    <w:rsid w:val="000107A4"/>
    <w:rsid w:val="000116A6"/>
    <w:rsid w:val="00011A69"/>
    <w:rsid w:val="00012511"/>
    <w:rsid w:val="0001307F"/>
    <w:rsid w:val="000130B4"/>
    <w:rsid w:val="00013936"/>
    <w:rsid w:val="0001418A"/>
    <w:rsid w:val="0001490E"/>
    <w:rsid w:val="000167E3"/>
    <w:rsid w:val="00021EBA"/>
    <w:rsid w:val="00022EFF"/>
    <w:rsid w:val="00023CB8"/>
    <w:rsid w:val="00024C29"/>
    <w:rsid w:val="00024F96"/>
    <w:rsid w:val="0002771A"/>
    <w:rsid w:val="000301AC"/>
    <w:rsid w:val="0003033B"/>
    <w:rsid w:val="000303AC"/>
    <w:rsid w:val="0003047D"/>
    <w:rsid w:val="0003048D"/>
    <w:rsid w:val="000306AF"/>
    <w:rsid w:val="00030CB3"/>
    <w:rsid w:val="0003154A"/>
    <w:rsid w:val="00032422"/>
    <w:rsid w:val="000325AC"/>
    <w:rsid w:val="00032647"/>
    <w:rsid w:val="00032996"/>
    <w:rsid w:val="00032EF9"/>
    <w:rsid w:val="0003445A"/>
    <w:rsid w:val="00034E8A"/>
    <w:rsid w:val="0003503E"/>
    <w:rsid w:val="00035E7F"/>
    <w:rsid w:val="00035F5F"/>
    <w:rsid w:val="00040BC4"/>
    <w:rsid w:val="00040C42"/>
    <w:rsid w:val="000413BB"/>
    <w:rsid w:val="000414DC"/>
    <w:rsid w:val="00042EF5"/>
    <w:rsid w:val="00043348"/>
    <w:rsid w:val="0004404E"/>
    <w:rsid w:val="00044A6B"/>
    <w:rsid w:val="0004598E"/>
    <w:rsid w:val="00045A03"/>
    <w:rsid w:val="0004629C"/>
    <w:rsid w:val="00046868"/>
    <w:rsid w:val="00046EF7"/>
    <w:rsid w:val="00046F9D"/>
    <w:rsid w:val="000474EB"/>
    <w:rsid w:val="00050873"/>
    <w:rsid w:val="00050891"/>
    <w:rsid w:val="00050C09"/>
    <w:rsid w:val="00050C5A"/>
    <w:rsid w:val="00051211"/>
    <w:rsid w:val="00051E61"/>
    <w:rsid w:val="00052FCB"/>
    <w:rsid w:val="00053090"/>
    <w:rsid w:val="00054ADE"/>
    <w:rsid w:val="00054B97"/>
    <w:rsid w:val="0005564D"/>
    <w:rsid w:val="00055B06"/>
    <w:rsid w:val="000564F7"/>
    <w:rsid w:val="00057627"/>
    <w:rsid w:val="00057928"/>
    <w:rsid w:val="00057B36"/>
    <w:rsid w:val="0006021E"/>
    <w:rsid w:val="00063848"/>
    <w:rsid w:val="00064AA2"/>
    <w:rsid w:val="000654AD"/>
    <w:rsid w:val="000656E9"/>
    <w:rsid w:val="00066A21"/>
    <w:rsid w:val="0006746B"/>
    <w:rsid w:val="000703A9"/>
    <w:rsid w:val="000713D2"/>
    <w:rsid w:val="00071572"/>
    <w:rsid w:val="0007165F"/>
    <w:rsid w:val="00071913"/>
    <w:rsid w:val="00071A40"/>
    <w:rsid w:val="00072385"/>
    <w:rsid w:val="00072A1E"/>
    <w:rsid w:val="0007326C"/>
    <w:rsid w:val="00073309"/>
    <w:rsid w:val="0007349A"/>
    <w:rsid w:val="000739C5"/>
    <w:rsid w:val="00074FE8"/>
    <w:rsid w:val="00075021"/>
    <w:rsid w:val="000751ED"/>
    <w:rsid w:val="000753AE"/>
    <w:rsid w:val="000769F0"/>
    <w:rsid w:val="00076ED9"/>
    <w:rsid w:val="00077E64"/>
    <w:rsid w:val="00080204"/>
    <w:rsid w:val="00081737"/>
    <w:rsid w:val="00082C4A"/>
    <w:rsid w:val="000830F3"/>
    <w:rsid w:val="00084325"/>
    <w:rsid w:val="00084855"/>
    <w:rsid w:val="0008520D"/>
    <w:rsid w:val="00085D54"/>
    <w:rsid w:val="000863A6"/>
    <w:rsid w:val="00086438"/>
    <w:rsid w:val="00086932"/>
    <w:rsid w:val="00090490"/>
    <w:rsid w:val="000930D5"/>
    <w:rsid w:val="00094362"/>
    <w:rsid w:val="0009447F"/>
    <w:rsid w:val="00094A59"/>
    <w:rsid w:val="000950D8"/>
    <w:rsid w:val="000952C2"/>
    <w:rsid w:val="000954F7"/>
    <w:rsid w:val="000955D3"/>
    <w:rsid w:val="00096CBD"/>
    <w:rsid w:val="00097C5B"/>
    <w:rsid w:val="000A0729"/>
    <w:rsid w:val="000A2762"/>
    <w:rsid w:val="000A2D8B"/>
    <w:rsid w:val="000A4296"/>
    <w:rsid w:val="000A4BF0"/>
    <w:rsid w:val="000A5062"/>
    <w:rsid w:val="000A5242"/>
    <w:rsid w:val="000A5AFB"/>
    <w:rsid w:val="000A6F9B"/>
    <w:rsid w:val="000A774A"/>
    <w:rsid w:val="000B08FB"/>
    <w:rsid w:val="000B0BAB"/>
    <w:rsid w:val="000B15CC"/>
    <w:rsid w:val="000B2715"/>
    <w:rsid w:val="000B3067"/>
    <w:rsid w:val="000B34DF"/>
    <w:rsid w:val="000B36D4"/>
    <w:rsid w:val="000B3C58"/>
    <w:rsid w:val="000B489D"/>
    <w:rsid w:val="000B4C69"/>
    <w:rsid w:val="000B5830"/>
    <w:rsid w:val="000B681F"/>
    <w:rsid w:val="000B71C2"/>
    <w:rsid w:val="000B7656"/>
    <w:rsid w:val="000B7D12"/>
    <w:rsid w:val="000C0949"/>
    <w:rsid w:val="000C4941"/>
    <w:rsid w:val="000C585B"/>
    <w:rsid w:val="000C5CA3"/>
    <w:rsid w:val="000C7909"/>
    <w:rsid w:val="000C7C49"/>
    <w:rsid w:val="000C7FA4"/>
    <w:rsid w:val="000D0471"/>
    <w:rsid w:val="000D1C1A"/>
    <w:rsid w:val="000D212C"/>
    <w:rsid w:val="000D260C"/>
    <w:rsid w:val="000D3B4E"/>
    <w:rsid w:val="000D3D83"/>
    <w:rsid w:val="000D4BB5"/>
    <w:rsid w:val="000D4E0E"/>
    <w:rsid w:val="000D5DFA"/>
    <w:rsid w:val="000D62BD"/>
    <w:rsid w:val="000D76BB"/>
    <w:rsid w:val="000D7B0A"/>
    <w:rsid w:val="000E030A"/>
    <w:rsid w:val="000E0388"/>
    <w:rsid w:val="000E0B45"/>
    <w:rsid w:val="000E3F01"/>
    <w:rsid w:val="000E4154"/>
    <w:rsid w:val="000E4AE4"/>
    <w:rsid w:val="000E4BB0"/>
    <w:rsid w:val="000E5973"/>
    <w:rsid w:val="000E5E79"/>
    <w:rsid w:val="000E6AB8"/>
    <w:rsid w:val="000E6C12"/>
    <w:rsid w:val="000E7B4A"/>
    <w:rsid w:val="000F3484"/>
    <w:rsid w:val="000F3833"/>
    <w:rsid w:val="000F3FAD"/>
    <w:rsid w:val="000F4004"/>
    <w:rsid w:val="000F5CDB"/>
    <w:rsid w:val="000F6487"/>
    <w:rsid w:val="000F7D3C"/>
    <w:rsid w:val="001000CC"/>
    <w:rsid w:val="00100A4F"/>
    <w:rsid w:val="00100DD9"/>
    <w:rsid w:val="00101419"/>
    <w:rsid w:val="00101C3B"/>
    <w:rsid w:val="00101E54"/>
    <w:rsid w:val="00104A56"/>
    <w:rsid w:val="00104C9D"/>
    <w:rsid w:val="00104E9B"/>
    <w:rsid w:val="00106D8A"/>
    <w:rsid w:val="00107B6D"/>
    <w:rsid w:val="001102C3"/>
    <w:rsid w:val="00110784"/>
    <w:rsid w:val="00110A20"/>
    <w:rsid w:val="00112794"/>
    <w:rsid w:val="00113612"/>
    <w:rsid w:val="001136A3"/>
    <w:rsid w:val="001139F6"/>
    <w:rsid w:val="00113A26"/>
    <w:rsid w:val="00114660"/>
    <w:rsid w:val="001157ED"/>
    <w:rsid w:val="0011658A"/>
    <w:rsid w:val="001179C0"/>
    <w:rsid w:val="00120BC0"/>
    <w:rsid w:val="00120ECA"/>
    <w:rsid w:val="00121B91"/>
    <w:rsid w:val="00123498"/>
    <w:rsid w:val="001255D7"/>
    <w:rsid w:val="00126140"/>
    <w:rsid w:val="001274B2"/>
    <w:rsid w:val="00127B70"/>
    <w:rsid w:val="00130A72"/>
    <w:rsid w:val="00130A78"/>
    <w:rsid w:val="00131F74"/>
    <w:rsid w:val="001323D3"/>
    <w:rsid w:val="00132594"/>
    <w:rsid w:val="00132C5A"/>
    <w:rsid w:val="00132E0C"/>
    <w:rsid w:val="001334A7"/>
    <w:rsid w:val="00133F63"/>
    <w:rsid w:val="001340FD"/>
    <w:rsid w:val="00137209"/>
    <w:rsid w:val="001373EA"/>
    <w:rsid w:val="00137CC3"/>
    <w:rsid w:val="00141058"/>
    <w:rsid w:val="00141DD1"/>
    <w:rsid w:val="001421E4"/>
    <w:rsid w:val="001432BF"/>
    <w:rsid w:val="001433A7"/>
    <w:rsid w:val="001442CE"/>
    <w:rsid w:val="00144E57"/>
    <w:rsid w:val="00146DD5"/>
    <w:rsid w:val="001509F6"/>
    <w:rsid w:val="001522A1"/>
    <w:rsid w:val="001523AA"/>
    <w:rsid w:val="00152C30"/>
    <w:rsid w:val="00154150"/>
    <w:rsid w:val="0015506A"/>
    <w:rsid w:val="0015530E"/>
    <w:rsid w:val="0015661E"/>
    <w:rsid w:val="0015693F"/>
    <w:rsid w:val="00156DA2"/>
    <w:rsid w:val="00160327"/>
    <w:rsid w:val="00162FDB"/>
    <w:rsid w:val="00164BEE"/>
    <w:rsid w:val="001663B4"/>
    <w:rsid w:val="00166F9B"/>
    <w:rsid w:val="001673A1"/>
    <w:rsid w:val="001677A2"/>
    <w:rsid w:val="001678E5"/>
    <w:rsid w:val="001678ED"/>
    <w:rsid w:val="00170731"/>
    <w:rsid w:val="0017093A"/>
    <w:rsid w:val="00170D62"/>
    <w:rsid w:val="001717CD"/>
    <w:rsid w:val="0017211F"/>
    <w:rsid w:val="001724C9"/>
    <w:rsid w:val="00172AE7"/>
    <w:rsid w:val="00172B3D"/>
    <w:rsid w:val="00172F71"/>
    <w:rsid w:val="0017484A"/>
    <w:rsid w:val="00174EE4"/>
    <w:rsid w:val="00175664"/>
    <w:rsid w:val="00176423"/>
    <w:rsid w:val="00177527"/>
    <w:rsid w:val="00180F09"/>
    <w:rsid w:val="001821D8"/>
    <w:rsid w:val="0018277B"/>
    <w:rsid w:val="001830C6"/>
    <w:rsid w:val="001845FE"/>
    <w:rsid w:val="00184A6A"/>
    <w:rsid w:val="00186265"/>
    <w:rsid w:val="001863A7"/>
    <w:rsid w:val="00186CAB"/>
    <w:rsid w:val="00187630"/>
    <w:rsid w:val="001903BA"/>
    <w:rsid w:val="0019208F"/>
    <w:rsid w:val="0019216C"/>
    <w:rsid w:val="0019402D"/>
    <w:rsid w:val="00194A63"/>
    <w:rsid w:val="00194D6D"/>
    <w:rsid w:val="00195131"/>
    <w:rsid w:val="001959AD"/>
    <w:rsid w:val="001969CF"/>
    <w:rsid w:val="001975D2"/>
    <w:rsid w:val="00197DE0"/>
    <w:rsid w:val="00197E14"/>
    <w:rsid w:val="001A08A5"/>
    <w:rsid w:val="001A1717"/>
    <w:rsid w:val="001A1E09"/>
    <w:rsid w:val="001A283E"/>
    <w:rsid w:val="001A3719"/>
    <w:rsid w:val="001A48B5"/>
    <w:rsid w:val="001A5817"/>
    <w:rsid w:val="001A5855"/>
    <w:rsid w:val="001A5B1C"/>
    <w:rsid w:val="001A6968"/>
    <w:rsid w:val="001A6A24"/>
    <w:rsid w:val="001A7E95"/>
    <w:rsid w:val="001B0F67"/>
    <w:rsid w:val="001B11FD"/>
    <w:rsid w:val="001B12F9"/>
    <w:rsid w:val="001B166D"/>
    <w:rsid w:val="001B551C"/>
    <w:rsid w:val="001B5C2B"/>
    <w:rsid w:val="001B7CA9"/>
    <w:rsid w:val="001B7F21"/>
    <w:rsid w:val="001C0A39"/>
    <w:rsid w:val="001C0CB2"/>
    <w:rsid w:val="001C1970"/>
    <w:rsid w:val="001C457D"/>
    <w:rsid w:val="001C4BD5"/>
    <w:rsid w:val="001C4EDD"/>
    <w:rsid w:val="001C5DA1"/>
    <w:rsid w:val="001C61A9"/>
    <w:rsid w:val="001C6AC5"/>
    <w:rsid w:val="001C7332"/>
    <w:rsid w:val="001D0296"/>
    <w:rsid w:val="001D0B61"/>
    <w:rsid w:val="001D3518"/>
    <w:rsid w:val="001D374B"/>
    <w:rsid w:val="001D45D7"/>
    <w:rsid w:val="001D70E8"/>
    <w:rsid w:val="001D7252"/>
    <w:rsid w:val="001D79FC"/>
    <w:rsid w:val="001D7A97"/>
    <w:rsid w:val="001E0A40"/>
    <w:rsid w:val="001E2198"/>
    <w:rsid w:val="001E2DEE"/>
    <w:rsid w:val="001E416A"/>
    <w:rsid w:val="001E47E6"/>
    <w:rsid w:val="001E4867"/>
    <w:rsid w:val="001F0810"/>
    <w:rsid w:val="001F09DD"/>
    <w:rsid w:val="001F0B77"/>
    <w:rsid w:val="001F20DC"/>
    <w:rsid w:val="001F3314"/>
    <w:rsid w:val="001F345E"/>
    <w:rsid w:val="001F3F3B"/>
    <w:rsid w:val="001F4096"/>
    <w:rsid w:val="001F5119"/>
    <w:rsid w:val="001F6282"/>
    <w:rsid w:val="001F70E3"/>
    <w:rsid w:val="00200021"/>
    <w:rsid w:val="00201AB0"/>
    <w:rsid w:val="002038AF"/>
    <w:rsid w:val="00204F5D"/>
    <w:rsid w:val="0020501C"/>
    <w:rsid w:val="00205EAE"/>
    <w:rsid w:val="002062D5"/>
    <w:rsid w:val="0020664C"/>
    <w:rsid w:val="00206F54"/>
    <w:rsid w:val="00207729"/>
    <w:rsid w:val="00207CF2"/>
    <w:rsid w:val="00207FB5"/>
    <w:rsid w:val="002118E6"/>
    <w:rsid w:val="0021239D"/>
    <w:rsid w:val="002128B9"/>
    <w:rsid w:val="00212C43"/>
    <w:rsid w:val="0021353D"/>
    <w:rsid w:val="00214930"/>
    <w:rsid w:val="00217CCC"/>
    <w:rsid w:val="0022106F"/>
    <w:rsid w:val="0022120C"/>
    <w:rsid w:val="002223A7"/>
    <w:rsid w:val="002227CC"/>
    <w:rsid w:val="002240A4"/>
    <w:rsid w:val="002246BF"/>
    <w:rsid w:val="002272A2"/>
    <w:rsid w:val="0022771E"/>
    <w:rsid w:val="002278C1"/>
    <w:rsid w:val="002302CC"/>
    <w:rsid w:val="00230E07"/>
    <w:rsid w:val="00231B2B"/>
    <w:rsid w:val="00232F27"/>
    <w:rsid w:val="0023440D"/>
    <w:rsid w:val="00235D62"/>
    <w:rsid w:val="00237C72"/>
    <w:rsid w:val="00237E07"/>
    <w:rsid w:val="00241752"/>
    <w:rsid w:val="00241BD7"/>
    <w:rsid w:val="00242464"/>
    <w:rsid w:val="002438A5"/>
    <w:rsid w:val="00244243"/>
    <w:rsid w:val="00247990"/>
    <w:rsid w:val="00250081"/>
    <w:rsid w:val="002515C2"/>
    <w:rsid w:val="002518D9"/>
    <w:rsid w:val="00251CDE"/>
    <w:rsid w:val="00254269"/>
    <w:rsid w:val="00255B7F"/>
    <w:rsid w:val="00255EE8"/>
    <w:rsid w:val="00257B85"/>
    <w:rsid w:val="00257DDF"/>
    <w:rsid w:val="00260D9B"/>
    <w:rsid w:val="00260ED3"/>
    <w:rsid w:val="00260FF6"/>
    <w:rsid w:val="00261F98"/>
    <w:rsid w:val="002625C2"/>
    <w:rsid w:val="002641BA"/>
    <w:rsid w:val="0026564E"/>
    <w:rsid w:val="0026590E"/>
    <w:rsid w:val="00265EEF"/>
    <w:rsid w:val="002660AD"/>
    <w:rsid w:val="002663A0"/>
    <w:rsid w:val="00266507"/>
    <w:rsid w:val="00266C3C"/>
    <w:rsid w:val="00267C50"/>
    <w:rsid w:val="00270548"/>
    <w:rsid w:val="002720AD"/>
    <w:rsid w:val="00275D0C"/>
    <w:rsid w:val="002770C6"/>
    <w:rsid w:val="00277F1D"/>
    <w:rsid w:val="002817E0"/>
    <w:rsid w:val="0028195A"/>
    <w:rsid w:val="00281A01"/>
    <w:rsid w:val="00282E40"/>
    <w:rsid w:val="00284209"/>
    <w:rsid w:val="0028443B"/>
    <w:rsid w:val="00284A03"/>
    <w:rsid w:val="00284B27"/>
    <w:rsid w:val="00285AC6"/>
    <w:rsid w:val="002874A9"/>
    <w:rsid w:val="00287921"/>
    <w:rsid w:val="00287B09"/>
    <w:rsid w:val="002903D6"/>
    <w:rsid w:val="002925E1"/>
    <w:rsid w:val="00292AC7"/>
    <w:rsid w:val="00293497"/>
    <w:rsid w:val="00294897"/>
    <w:rsid w:val="002948AB"/>
    <w:rsid w:val="0029745D"/>
    <w:rsid w:val="002976FE"/>
    <w:rsid w:val="002A00A1"/>
    <w:rsid w:val="002A01FE"/>
    <w:rsid w:val="002A030F"/>
    <w:rsid w:val="002A038F"/>
    <w:rsid w:val="002A4574"/>
    <w:rsid w:val="002A672D"/>
    <w:rsid w:val="002A73D7"/>
    <w:rsid w:val="002A7CF7"/>
    <w:rsid w:val="002B06B6"/>
    <w:rsid w:val="002B06F8"/>
    <w:rsid w:val="002B0729"/>
    <w:rsid w:val="002B0E55"/>
    <w:rsid w:val="002B1465"/>
    <w:rsid w:val="002B1A0A"/>
    <w:rsid w:val="002B23EB"/>
    <w:rsid w:val="002B2CAD"/>
    <w:rsid w:val="002B2CDB"/>
    <w:rsid w:val="002B35B7"/>
    <w:rsid w:val="002B4629"/>
    <w:rsid w:val="002B557D"/>
    <w:rsid w:val="002B56BB"/>
    <w:rsid w:val="002C0F72"/>
    <w:rsid w:val="002C2797"/>
    <w:rsid w:val="002C2821"/>
    <w:rsid w:val="002C3186"/>
    <w:rsid w:val="002C4D06"/>
    <w:rsid w:val="002D08F0"/>
    <w:rsid w:val="002D0CF0"/>
    <w:rsid w:val="002D14A0"/>
    <w:rsid w:val="002D2398"/>
    <w:rsid w:val="002D3500"/>
    <w:rsid w:val="002D385B"/>
    <w:rsid w:val="002D39C5"/>
    <w:rsid w:val="002D4877"/>
    <w:rsid w:val="002D6E4E"/>
    <w:rsid w:val="002D787E"/>
    <w:rsid w:val="002E142F"/>
    <w:rsid w:val="002E1BCD"/>
    <w:rsid w:val="002E3203"/>
    <w:rsid w:val="002E55B5"/>
    <w:rsid w:val="002E6780"/>
    <w:rsid w:val="002E6D37"/>
    <w:rsid w:val="002F1642"/>
    <w:rsid w:val="002F2329"/>
    <w:rsid w:val="002F3B86"/>
    <w:rsid w:val="002F48DB"/>
    <w:rsid w:val="002F5E69"/>
    <w:rsid w:val="002F7C13"/>
    <w:rsid w:val="00301030"/>
    <w:rsid w:val="0030153D"/>
    <w:rsid w:val="003017A9"/>
    <w:rsid w:val="003027A0"/>
    <w:rsid w:val="00303DAA"/>
    <w:rsid w:val="00303E0B"/>
    <w:rsid w:val="003040CB"/>
    <w:rsid w:val="00304288"/>
    <w:rsid w:val="003045CB"/>
    <w:rsid w:val="003049A0"/>
    <w:rsid w:val="003051B8"/>
    <w:rsid w:val="00305CDB"/>
    <w:rsid w:val="00305F6D"/>
    <w:rsid w:val="003068C9"/>
    <w:rsid w:val="003071C5"/>
    <w:rsid w:val="00311717"/>
    <w:rsid w:val="003118CB"/>
    <w:rsid w:val="00312EAF"/>
    <w:rsid w:val="0031364D"/>
    <w:rsid w:val="00313D3F"/>
    <w:rsid w:val="00313F9C"/>
    <w:rsid w:val="00315465"/>
    <w:rsid w:val="003155AC"/>
    <w:rsid w:val="00315B1B"/>
    <w:rsid w:val="00315B7F"/>
    <w:rsid w:val="00316244"/>
    <w:rsid w:val="00316D64"/>
    <w:rsid w:val="003201CF"/>
    <w:rsid w:val="003236CE"/>
    <w:rsid w:val="00324552"/>
    <w:rsid w:val="00326A34"/>
    <w:rsid w:val="00326E05"/>
    <w:rsid w:val="003277FE"/>
    <w:rsid w:val="003302E4"/>
    <w:rsid w:val="00330316"/>
    <w:rsid w:val="00330775"/>
    <w:rsid w:val="00332AD1"/>
    <w:rsid w:val="00332B6F"/>
    <w:rsid w:val="003330AF"/>
    <w:rsid w:val="00333A8D"/>
    <w:rsid w:val="00333D27"/>
    <w:rsid w:val="00334C48"/>
    <w:rsid w:val="003357DF"/>
    <w:rsid w:val="00336044"/>
    <w:rsid w:val="0034085B"/>
    <w:rsid w:val="00340FEF"/>
    <w:rsid w:val="00341632"/>
    <w:rsid w:val="00343DE4"/>
    <w:rsid w:val="00346F29"/>
    <w:rsid w:val="00347F2A"/>
    <w:rsid w:val="0035175E"/>
    <w:rsid w:val="00351FF3"/>
    <w:rsid w:val="00353579"/>
    <w:rsid w:val="00354240"/>
    <w:rsid w:val="003553A7"/>
    <w:rsid w:val="00355791"/>
    <w:rsid w:val="00355968"/>
    <w:rsid w:val="003565EC"/>
    <w:rsid w:val="00357FFB"/>
    <w:rsid w:val="0036095F"/>
    <w:rsid w:val="003613CD"/>
    <w:rsid w:val="00362CE5"/>
    <w:rsid w:val="00365E96"/>
    <w:rsid w:val="00366F12"/>
    <w:rsid w:val="00366FE3"/>
    <w:rsid w:val="00367369"/>
    <w:rsid w:val="003719DE"/>
    <w:rsid w:val="003736DC"/>
    <w:rsid w:val="003738D4"/>
    <w:rsid w:val="00374B2E"/>
    <w:rsid w:val="0037598E"/>
    <w:rsid w:val="003762A1"/>
    <w:rsid w:val="00376673"/>
    <w:rsid w:val="003769D1"/>
    <w:rsid w:val="00377000"/>
    <w:rsid w:val="003771D7"/>
    <w:rsid w:val="00377C8B"/>
    <w:rsid w:val="0038171B"/>
    <w:rsid w:val="00381B8E"/>
    <w:rsid w:val="00381EBB"/>
    <w:rsid w:val="003827C2"/>
    <w:rsid w:val="00382C21"/>
    <w:rsid w:val="00382FA1"/>
    <w:rsid w:val="003837E0"/>
    <w:rsid w:val="00383CB8"/>
    <w:rsid w:val="00384F48"/>
    <w:rsid w:val="00385635"/>
    <w:rsid w:val="00390130"/>
    <w:rsid w:val="00390B81"/>
    <w:rsid w:val="0039189E"/>
    <w:rsid w:val="00394DD5"/>
    <w:rsid w:val="00395C1E"/>
    <w:rsid w:val="00396E6B"/>
    <w:rsid w:val="00397537"/>
    <w:rsid w:val="00397B65"/>
    <w:rsid w:val="003A0044"/>
    <w:rsid w:val="003A0F61"/>
    <w:rsid w:val="003A1DFF"/>
    <w:rsid w:val="003A1F88"/>
    <w:rsid w:val="003A23DB"/>
    <w:rsid w:val="003A3331"/>
    <w:rsid w:val="003A5193"/>
    <w:rsid w:val="003A5674"/>
    <w:rsid w:val="003A5675"/>
    <w:rsid w:val="003A5D03"/>
    <w:rsid w:val="003A69DA"/>
    <w:rsid w:val="003A6F59"/>
    <w:rsid w:val="003A70D7"/>
    <w:rsid w:val="003A72C2"/>
    <w:rsid w:val="003B113E"/>
    <w:rsid w:val="003B1419"/>
    <w:rsid w:val="003B211D"/>
    <w:rsid w:val="003B364C"/>
    <w:rsid w:val="003B4077"/>
    <w:rsid w:val="003B47D6"/>
    <w:rsid w:val="003B5118"/>
    <w:rsid w:val="003B6202"/>
    <w:rsid w:val="003B73A5"/>
    <w:rsid w:val="003B790C"/>
    <w:rsid w:val="003C1F61"/>
    <w:rsid w:val="003C44CC"/>
    <w:rsid w:val="003C5433"/>
    <w:rsid w:val="003C67FC"/>
    <w:rsid w:val="003C7DA9"/>
    <w:rsid w:val="003D2462"/>
    <w:rsid w:val="003D5266"/>
    <w:rsid w:val="003D5784"/>
    <w:rsid w:val="003D58F9"/>
    <w:rsid w:val="003D5CA1"/>
    <w:rsid w:val="003D7A40"/>
    <w:rsid w:val="003E1437"/>
    <w:rsid w:val="003E14E8"/>
    <w:rsid w:val="003E224D"/>
    <w:rsid w:val="003E2372"/>
    <w:rsid w:val="003E2BA8"/>
    <w:rsid w:val="003E2CD2"/>
    <w:rsid w:val="003E2D1A"/>
    <w:rsid w:val="003E385A"/>
    <w:rsid w:val="003E43D5"/>
    <w:rsid w:val="003E448F"/>
    <w:rsid w:val="003E46FA"/>
    <w:rsid w:val="003E513D"/>
    <w:rsid w:val="003E567C"/>
    <w:rsid w:val="003E6AB2"/>
    <w:rsid w:val="003E745A"/>
    <w:rsid w:val="003F1C05"/>
    <w:rsid w:val="003F267D"/>
    <w:rsid w:val="003F2E70"/>
    <w:rsid w:val="003F39F8"/>
    <w:rsid w:val="003F39FB"/>
    <w:rsid w:val="003F4544"/>
    <w:rsid w:val="003F5131"/>
    <w:rsid w:val="003F5700"/>
    <w:rsid w:val="003F57D9"/>
    <w:rsid w:val="003F6CDC"/>
    <w:rsid w:val="003F7A1A"/>
    <w:rsid w:val="004010AC"/>
    <w:rsid w:val="004011B5"/>
    <w:rsid w:val="004015A1"/>
    <w:rsid w:val="00403E3A"/>
    <w:rsid w:val="00405B16"/>
    <w:rsid w:val="004075DA"/>
    <w:rsid w:val="00407D5E"/>
    <w:rsid w:val="0041045D"/>
    <w:rsid w:val="00411011"/>
    <w:rsid w:val="0041218C"/>
    <w:rsid w:val="00412C37"/>
    <w:rsid w:val="0041408C"/>
    <w:rsid w:val="0041460A"/>
    <w:rsid w:val="00416115"/>
    <w:rsid w:val="00416C6F"/>
    <w:rsid w:val="0041706F"/>
    <w:rsid w:val="004174D5"/>
    <w:rsid w:val="00421278"/>
    <w:rsid w:val="00421ACB"/>
    <w:rsid w:val="004222A3"/>
    <w:rsid w:val="004231DE"/>
    <w:rsid w:val="004238AC"/>
    <w:rsid w:val="00427126"/>
    <w:rsid w:val="00427702"/>
    <w:rsid w:val="004277B0"/>
    <w:rsid w:val="00430681"/>
    <w:rsid w:val="00430F01"/>
    <w:rsid w:val="00430FFE"/>
    <w:rsid w:val="00432570"/>
    <w:rsid w:val="00432A62"/>
    <w:rsid w:val="00432DA6"/>
    <w:rsid w:val="004351FD"/>
    <w:rsid w:val="004352B8"/>
    <w:rsid w:val="0043729E"/>
    <w:rsid w:val="00437B31"/>
    <w:rsid w:val="00437E49"/>
    <w:rsid w:val="00440236"/>
    <w:rsid w:val="0044033B"/>
    <w:rsid w:val="00441E7D"/>
    <w:rsid w:val="00442850"/>
    <w:rsid w:val="00442BC1"/>
    <w:rsid w:val="00442FB1"/>
    <w:rsid w:val="00443780"/>
    <w:rsid w:val="004439CA"/>
    <w:rsid w:val="00443B12"/>
    <w:rsid w:val="00445A5B"/>
    <w:rsid w:val="0044648F"/>
    <w:rsid w:val="00446DC8"/>
    <w:rsid w:val="00447F44"/>
    <w:rsid w:val="004501EC"/>
    <w:rsid w:val="00450E94"/>
    <w:rsid w:val="00451CD8"/>
    <w:rsid w:val="0045379E"/>
    <w:rsid w:val="00455A9A"/>
    <w:rsid w:val="00455F14"/>
    <w:rsid w:val="0045614A"/>
    <w:rsid w:val="00457E7D"/>
    <w:rsid w:val="0046324C"/>
    <w:rsid w:val="00463966"/>
    <w:rsid w:val="00464A92"/>
    <w:rsid w:val="00464E50"/>
    <w:rsid w:val="004653F9"/>
    <w:rsid w:val="004659E1"/>
    <w:rsid w:val="004666A3"/>
    <w:rsid w:val="00466B0C"/>
    <w:rsid w:val="00467483"/>
    <w:rsid w:val="004704FF"/>
    <w:rsid w:val="0047074D"/>
    <w:rsid w:val="00470F20"/>
    <w:rsid w:val="00471DFC"/>
    <w:rsid w:val="00472038"/>
    <w:rsid w:val="004725B6"/>
    <w:rsid w:val="00473242"/>
    <w:rsid w:val="00474024"/>
    <w:rsid w:val="00474220"/>
    <w:rsid w:val="00474E69"/>
    <w:rsid w:val="004758DF"/>
    <w:rsid w:val="004762A4"/>
    <w:rsid w:val="004763D9"/>
    <w:rsid w:val="00476D78"/>
    <w:rsid w:val="004773EE"/>
    <w:rsid w:val="00480B97"/>
    <w:rsid w:val="0048176C"/>
    <w:rsid w:val="00481A41"/>
    <w:rsid w:val="00481A76"/>
    <w:rsid w:val="004826F6"/>
    <w:rsid w:val="00484008"/>
    <w:rsid w:val="004864A9"/>
    <w:rsid w:val="00487155"/>
    <w:rsid w:val="004879BD"/>
    <w:rsid w:val="004907E7"/>
    <w:rsid w:val="004909C7"/>
    <w:rsid w:val="00491597"/>
    <w:rsid w:val="00491C0E"/>
    <w:rsid w:val="00491FDD"/>
    <w:rsid w:val="004927F9"/>
    <w:rsid w:val="0049385D"/>
    <w:rsid w:val="004951EB"/>
    <w:rsid w:val="004960A2"/>
    <w:rsid w:val="0049636E"/>
    <w:rsid w:val="004966B3"/>
    <w:rsid w:val="00496993"/>
    <w:rsid w:val="00497BBB"/>
    <w:rsid w:val="004A0796"/>
    <w:rsid w:val="004A1EA1"/>
    <w:rsid w:val="004A3E42"/>
    <w:rsid w:val="004A3FF0"/>
    <w:rsid w:val="004A4E5A"/>
    <w:rsid w:val="004A589E"/>
    <w:rsid w:val="004A6838"/>
    <w:rsid w:val="004B03EA"/>
    <w:rsid w:val="004B040F"/>
    <w:rsid w:val="004B1ADC"/>
    <w:rsid w:val="004B2A13"/>
    <w:rsid w:val="004B5981"/>
    <w:rsid w:val="004B5DE9"/>
    <w:rsid w:val="004B6311"/>
    <w:rsid w:val="004B6834"/>
    <w:rsid w:val="004C1394"/>
    <w:rsid w:val="004C2D0D"/>
    <w:rsid w:val="004C559E"/>
    <w:rsid w:val="004C5A5B"/>
    <w:rsid w:val="004C5AD2"/>
    <w:rsid w:val="004C66EE"/>
    <w:rsid w:val="004C7DC4"/>
    <w:rsid w:val="004D04D7"/>
    <w:rsid w:val="004D2DA9"/>
    <w:rsid w:val="004D3904"/>
    <w:rsid w:val="004D4B5F"/>
    <w:rsid w:val="004D4C37"/>
    <w:rsid w:val="004D6711"/>
    <w:rsid w:val="004D68F2"/>
    <w:rsid w:val="004D69A4"/>
    <w:rsid w:val="004D6DD6"/>
    <w:rsid w:val="004D74A0"/>
    <w:rsid w:val="004D75BF"/>
    <w:rsid w:val="004E030D"/>
    <w:rsid w:val="004E0519"/>
    <w:rsid w:val="004E25EF"/>
    <w:rsid w:val="004E3B71"/>
    <w:rsid w:val="004E3D97"/>
    <w:rsid w:val="004E7653"/>
    <w:rsid w:val="004F00B4"/>
    <w:rsid w:val="004F14D0"/>
    <w:rsid w:val="004F16D4"/>
    <w:rsid w:val="004F1818"/>
    <w:rsid w:val="004F3155"/>
    <w:rsid w:val="004F59AD"/>
    <w:rsid w:val="004F60EA"/>
    <w:rsid w:val="004F6650"/>
    <w:rsid w:val="004F6E77"/>
    <w:rsid w:val="004F793F"/>
    <w:rsid w:val="00500B60"/>
    <w:rsid w:val="00501ABB"/>
    <w:rsid w:val="00501E3A"/>
    <w:rsid w:val="0050285E"/>
    <w:rsid w:val="00502D2B"/>
    <w:rsid w:val="00503018"/>
    <w:rsid w:val="00503DA8"/>
    <w:rsid w:val="00504F55"/>
    <w:rsid w:val="00505C2E"/>
    <w:rsid w:val="00506217"/>
    <w:rsid w:val="00506970"/>
    <w:rsid w:val="00506F80"/>
    <w:rsid w:val="005103B7"/>
    <w:rsid w:val="0051231F"/>
    <w:rsid w:val="00512A9F"/>
    <w:rsid w:val="00512E0C"/>
    <w:rsid w:val="005147F1"/>
    <w:rsid w:val="00514C5D"/>
    <w:rsid w:val="0051515B"/>
    <w:rsid w:val="0051627A"/>
    <w:rsid w:val="0052087D"/>
    <w:rsid w:val="00520B5E"/>
    <w:rsid w:val="00520DD5"/>
    <w:rsid w:val="00523822"/>
    <w:rsid w:val="00523921"/>
    <w:rsid w:val="00526281"/>
    <w:rsid w:val="005279F1"/>
    <w:rsid w:val="00527C34"/>
    <w:rsid w:val="00530F57"/>
    <w:rsid w:val="005310A3"/>
    <w:rsid w:val="00531108"/>
    <w:rsid w:val="00531862"/>
    <w:rsid w:val="005318BD"/>
    <w:rsid w:val="00532C7C"/>
    <w:rsid w:val="00532F48"/>
    <w:rsid w:val="005334F1"/>
    <w:rsid w:val="00533FC1"/>
    <w:rsid w:val="005341D7"/>
    <w:rsid w:val="00534E3F"/>
    <w:rsid w:val="00537B65"/>
    <w:rsid w:val="0054211E"/>
    <w:rsid w:val="005427CA"/>
    <w:rsid w:val="00542865"/>
    <w:rsid w:val="005431BC"/>
    <w:rsid w:val="00543391"/>
    <w:rsid w:val="005435E4"/>
    <w:rsid w:val="00545355"/>
    <w:rsid w:val="00545808"/>
    <w:rsid w:val="00547A43"/>
    <w:rsid w:val="00547D45"/>
    <w:rsid w:val="00547E39"/>
    <w:rsid w:val="0055172E"/>
    <w:rsid w:val="00552479"/>
    <w:rsid w:val="00552E5A"/>
    <w:rsid w:val="00553399"/>
    <w:rsid w:val="005535CF"/>
    <w:rsid w:val="005553A1"/>
    <w:rsid w:val="0055758A"/>
    <w:rsid w:val="0056167A"/>
    <w:rsid w:val="00561E0F"/>
    <w:rsid w:val="00562534"/>
    <w:rsid w:val="0056533D"/>
    <w:rsid w:val="00565DCA"/>
    <w:rsid w:val="00565E15"/>
    <w:rsid w:val="0056675E"/>
    <w:rsid w:val="00566FA7"/>
    <w:rsid w:val="0056767E"/>
    <w:rsid w:val="0056787C"/>
    <w:rsid w:val="005701C2"/>
    <w:rsid w:val="005706E7"/>
    <w:rsid w:val="0057099D"/>
    <w:rsid w:val="00571DFB"/>
    <w:rsid w:val="0057442C"/>
    <w:rsid w:val="005744D3"/>
    <w:rsid w:val="00574603"/>
    <w:rsid w:val="005751FE"/>
    <w:rsid w:val="00576136"/>
    <w:rsid w:val="00580061"/>
    <w:rsid w:val="0058089E"/>
    <w:rsid w:val="00580A03"/>
    <w:rsid w:val="00580DE7"/>
    <w:rsid w:val="005819BF"/>
    <w:rsid w:val="005822F2"/>
    <w:rsid w:val="0058252B"/>
    <w:rsid w:val="00582F9B"/>
    <w:rsid w:val="0058423E"/>
    <w:rsid w:val="00585052"/>
    <w:rsid w:val="00590542"/>
    <w:rsid w:val="00591425"/>
    <w:rsid w:val="00592616"/>
    <w:rsid w:val="00592D4C"/>
    <w:rsid w:val="00593948"/>
    <w:rsid w:val="00594340"/>
    <w:rsid w:val="00595131"/>
    <w:rsid w:val="00595423"/>
    <w:rsid w:val="0059562C"/>
    <w:rsid w:val="005965AA"/>
    <w:rsid w:val="00596D0B"/>
    <w:rsid w:val="005973A8"/>
    <w:rsid w:val="005979E7"/>
    <w:rsid w:val="005A31DC"/>
    <w:rsid w:val="005A4540"/>
    <w:rsid w:val="005A503D"/>
    <w:rsid w:val="005A69EE"/>
    <w:rsid w:val="005A6C91"/>
    <w:rsid w:val="005A6CF1"/>
    <w:rsid w:val="005A7D49"/>
    <w:rsid w:val="005B070C"/>
    <w:rsid w:val="005B0F95"/>
    <w:rsid w:val="005B0F9F"/>
    <w:rsid w:val="005B1FAE"/>
    <w:rsid w:val="005B2836"/>
    <w:rsid w:val="005B4106"/>
    <w:rsid w:val="005B5551"/>
    <w:rsid w:val="005C0781"/>
    <w:rsid w:val="005C1722"/>
    <w:rsid w:val="005C1986"/>
    <w:rsid w:val="005C1B61"/>
    <w:rsid w:val="005C22A1"/>
    <w:rsid w:val="005C27D7"/>
    <w:rsid w:val="005C2ACD"/>
    <w:rsid w:val="005C5A7C"/>
    <w:rsid w:val="005C73E5"/>
    <w:rsid w:val="005C7F53"/>
    <w:rsid w:val="005D03A8"/>
    <w:rsid w:val="005D2AB2"/>
    <w:rsid w:val="005D32B5"/>
    <w:rsid w:val="005D3BD7"/>
    <w:rsid w:val="005D3E17"/>
    <w:rsid w:val="005D40ED"/>
    <w:rsid w:val="005D4666"/>
    <w:rsid w:val="005D5D96"/>
    <w:rsid w:val="005D6DEB"/>
    <w:rsid w:val="005D7224"/>
    <w:rsid w:val="005E197F"/>
    <w:rsid w:val="005E332D"/>
    <w:rsid w:val="005E39B5"/>
    <w:rsid w:val="005E3A2D"/>
    <w:rsid w:val="005E4A13"/>
    <w:rsid w:val="005E5739"/>
    <w:rsid w:val="005E5F40"/>
    <w:rsid w:val="005E6709"/>
    <w:rsid w:val="005E7C86"/>
    <w:rsid w:val="005F036C"/>
    <w:rsid w:val="005F1C0D"/>
    <w:rsid w:val="005F2C36"/>
    <w:rsid w:val="005F5C3E"/>
    <w:rsid w:val="005F64AA"/>
    <w:rsid w:val="005F6F27"/>
    <w:rsid w:val="006001E8"/>
    <w:rsid w:val="00600CA9"/>
    <w:rsid w:val="00600FFF"/>
    <w:rsid w:val="006024CF"/>
    <w:rsid w:val="006026EE"/>
    <w:rsid w:val="0060445D"/>
    <w:rsid w:val="00604642"/>
    <w:rsid w:val="00605D46"/>
    <w:rsid w:val="0060689A"/>
    <w:rsid w:val="00607065"/>
    <w:rsid w:val="0060762E"/>
    <w:rsid w:val="006079F1"/>
    <w:rsid w:val="00607DEA"/>
    <w:rsid w:val="00607E40"/>
    <w:rsid w:val="00607EF3"/>
    <w:rsid w:val="00610089"/>
    <w:rsid w:val="0061013A"/>
    <w:rsid w:val="00610685"/>
    <w:rsid w:val="00611704"/>
    <w:rsid w:val="00611A40"/>
    <w:rsid w:val="0061290A"/>
    <w:rsid w:val="00613C0A"/>
    <w:rsid w:val="00613C8F"/>
    <w:rsid w:val="00613DBE"/>
    <w:rsid w:val="006147C2"/>
    <w:rsid w:val="00614E05"/>
    <w:rsid w:val="00615271"/>
    <w:rsid w:val="00615D7B"/>
    <w:rsid w:val="0061609B"/>
    <w:rsid w:val="006161D3"/>
    <w:rsid w:val="006235D4"/>
    <w:rsid w:val="00623716"/>
    <w:rsid w:val="00623C39"/>
    <w:rsid w:val="00624758"/>
    <w:rsid w:val="00625B67"/>
    <w:rsid w:val="006264BB"/>
    <w:rsid w:val="00626788"/>
    <w:rsid w:val="00626BED"/>
    <w:rsid w:val="00626D4B"/>
    <w:rsid w:val="00626DE0"/>
    <w:rsid w:val="00627984"/>
    <w:rsid w:val="00627C05"/>
    <w:rsid w:val="0063369D"/>
    <w:rsid w:val="00636EBF"/>
    <w:rsid w:val="00637FA7"/>
    <w:rsid w:val="00640122"/>
    <w:rsid w:val="00643ED3"/>
    <w:rsid w:val="00645394"/>
    <w:rsid w:val="00645900"/>
    <w:rsid w:val="0064627D"/>
    <w:rsid w:val="006472E6"/>
    <w:rsid w:val="0064748A"/>
    <w:rsid w:val="0065064C"/>
    <w:rsid w:val="0065073E"/>
    <w:rsid w:val="0065304C"/>
    <w:rsid w:val="00655D04"/>
    <w:rsid w:val="006560D5"/>
    <w:rsid w:val="00656414"/>
    <w:rsid w:val="00656FBD"/>
    <w:rsid w:val="00657BEF"/>
    <w:rsid w:val="00657E80"/>
    <w:rsid w:val="0066202E"/>
    <w:rsid w:val="006627AE"/>
    <w:rsid w:val="006627D9"/>
    <w:rsid w:val="00663F9B"/>
    <w:rsid w:val="006648DD"/>
    <w:rsid w:val="00666135"/>
    <w:rsid w:val="00667CB7"/>
    <w:rsid w:val="00670283"/>
    <w:rsid w:val="00670D75"/>
    <w:rsid w:val="00671AD6"/>
    <w:rsid w:val="00671FDE"/>
    <w:rsid w:val="0067340E"/>
    <w:rsid w:val="00673F6C"/>
    <w:rsid w:val="0067492C"/>
    <w:rsid w:val="00674B36"/>
    <w:rsid w:val="006774B8"/>
    <w:rsid w:val="006779A3"/>
    <w:rsid w:val="0068317D"/>
    <w:rsid w:val="00684B14"/>
    <w:rsid w:val="00685FF9"/>
    <w:rsid w:val="00687B9A"/>
    <w:rsid w:val="0069173B"/>
    <w:rsid w:val="00692226"/>
    <w:rsid w:val="006923FD"/>
    <w:rsid w:val="00692F14"/>
    <w:rsid w:val="00693398"/>
    <w:rsid w:val="00693CA1"/>
    <w:rsid w:val="00694E64"/>
    <w:rsid w:val="00694EB9"/>
    <w:rsid w:val="00695279"/>
    <w:rsid w:val="006962F6"/>
    <w:rsid w:val="006A04B2"/>
    <w:rsid w:val="006A3061"/>
    <w:rsid w:val="006A4AE9"/>
    <w:rsid w:val="006A63DE"/>
    <w:rsid w:val="006A63E0"/>
    <w:rsid w:val="006A69CB"/>
    <w:rsid w:val="006A7D7F"/>
    <w:rsid w:val="006B07B3"/>
    <w:rsid w:val="006B18D7"/>
    <w:rsid w:val="006B1E21"/>
    <w:rsid w:val="006B2958"/>
    <w:rsid w:val="006B3043"/>
    <w:rsid w:val="006B405D"/>
    <w:rsid w:val="006B4254"/>
    <w:rsid w:val="006B42A6"/>
    <w:rsid w:val="006B56D2"/>
    <w:rsid w:val="006B6639"/>
    <w:rsid w:val="006B6EEB"/>
    <w:rsid w:val="006B6F79"/>
    <w:rsid w:val="006B71AB"/>
    <w:rsid w:val="006B768E"/>
    <w:rsid w:val="006B7B02"/>
    <w:rsid w:val="006B7F87"/>
    <w:rsid w:val="006C0AA2"/>
    <w:rsid w:val="006C0AC3"/>
    <w:rsid w:val="006C1BA9"/>
    <w:rsid w:val="006C28E6"/>
    <w:rsid w:val="006C2A0E"/>
    <w:rsid w:val="006C2BC4"/>
    <w:rsid w:val="006C4233"/>
    <w:rsid w:val="006C4D31"/>
    <w:rsid w:val="006C4FC7"/>
    <w:rsid w:val="006C51AB"/>
    <w:rsid w:val="006C70A1"/>
    <w:rsid w:val="006D03A6"/>
    <w:rsid w:val="006D194A"/>
    <w:rsid w:val="006D3285"/>
    <w:rsid w:val="006D3940"/>
    <w:rsid w:val="006D4488"/>
    <w:rsid w:val="006E15B3"/>
    <w:rsid w:val="006E2EE9"/>
    <w:rsid w:val="006E3E7E"/>
    <w:rsid w:val="006E51FE"/>
    <w:rsid w:val="006E5F3C"/>
    <w:rsid w:val="006E61F3"/>
    <w:rsid w:val="006E66C4"/>
    <w:rsid w:val="006E6D28"/>
    <w:rsid w:val="006E7788"/>
    <w:rsid w:val="006E795F"/>
    <w:rsid w:val="006E7C2B"/>
    <w:rsid w:val="006F0398"/>
    <w:rsid w:val="006F2FA2"/>
    <w:rsid w:val="006F35CF"/>
    <w:rsid w:val="006F3A51"/>
    <w:rsid w:val="006F6ECC"/>
    <w:rsid w:val="006F71B0"/>
    <w:rsid w:val="006F7376"/>
    <w:rsid w:val="006F743C"/>
    <w:rsid w:val="007000B4"/>
    <w:rsid w:val="0070068D"/>
    <w:rsid w:val="00700E31"/>
    <w:rsid w:val="0070284C"/>
    <w:rsid w:val="00703EEF"/>
    <w:rsid w:val="007049E6"/>
    <w:rsid w:val="00706B1B"/>
    <w:rsid w:val="00707146"/>
    <w:rsid w:val="007075EA"/>
    <w:rsid w:val="00713E34"/>
    <w:rsid w:val="0071408F"/>
    <w:rsid w:val="00716158"/>
    <w:rsid w:val="00716930"/>
    <w:rsid w:val="00716DAB"/>
    <w:rsid w:val="00717F8B"/>
    <w:rsid w:val="007208D5"/>
    <w:rsid w:val="00720F71"/>
    <w:rsid w:val="00721037"/>
    <w:rsid w:val="00721308"/>
    <w:rsid w:val="0072274B"/>
    <w:rsid w:val="00723577"/>
    <w:rsid w:val="00724DAE"/>
    <w:rsid w:val="00724FB8"/>
    <w:rsid w:val="0072506A"/>
    <w:rsid w:val="00725270"/>
    <w:rsid w:val="00726864"/>
    <w:rsid w:val="00726B8F"/>
    <w:rsid w:val="00727172"/>
    <w:rsid w:val="00727703"/>
    <w:rsid w:val="00727AF2"/>
    <w:rsid w:val="00730FB0"/>
    <w:rsid w:val="007318A0"/>
    <w:rsid w:val="00734439"/>
    <w:rsid w:val="00734E9D"/>
    <w:rsid w:val="007354BA"/>
    <w:rsid w:val="00735E54"/>
    <w:rsid w:val="007364F5"/>
    <w:rsid w:val="00736DDC"/>
    <w:rsid w:val="00737144"/>
    <w:rsid w:val="00737476"/>
    <w:rsid w:val="00740B74"/>
    <w:rsid w:val="00741222"/>
    <w:rsid w:val="0074235A"/>
    <w:rsid w:val="00742E2A"/>
    <w:rsid w:val="00744B3A"/>
    <w:rsid w:val="00746535"/>
    <w:rsid w:val="00750767"/>
    <w:rsid w:val="00751659"/>
    <w:rsid w:val="00752DF0"/>
    <w:rsid w:val="00753154"/>
    <w:rsid w:val="00753332"/>
    <w:rsid w:val="00753485"/>
    <w:rsid w:val="00753C03"/>
    <w:rsid w:val="0075428B"/>
    <w:rsid w:val="00754F54"/>
    <w:rsid w:val="007551D4"/>
    <w:rsid w:val="00755A5E"/>
    <w:rsid w:val="00756417"/>
    <w:rsid w:val="00757102"/>
    <w:rsid w:val="00757258"/>
    <w:rsid w:val="00757270"/>
    <w:rsid w:val="00764508"/>
    <w:rsid w:val="00764776"/>
    <w:rsid w:val="00764B46"/>
    <w:rsid w:val="007674B3"/>
    <w:rsid w:val="00767FB7"/>
    <w:rsid w:val="00771A05"/>
    <w:rsid w:val="007722E1"/>
    <w:rsid w:val="00772AAF"/>
    <w:rsid w:val="0077380C"/>
    <w:rsid w:val="00773F6B"/>
    <w:rsid w:val="00774477"/>
    <w:rsid w:val="0077473C"/>
    <w:rsid w:val="007752D1"/>
    <w:rsid w:val="00775AFE"/>
    <w:rsid w:val="0077708F"/>
    <w:rsid w:val="007770A1"/>
    <w:rsid w:val="00777500"/>
    <w:rsid w:val="007777A0"/>
    <w:rsid w:val="00780A8C"/>
    <w:rsid w:val="00781E44"/>
    <w:rsid w:val="00782CDB"/>
    <w:rsid w:val="00784015"/>
    <w:rsid w:val="00785CD1"/>
    <w:rsid w:val="00786388"/>
    <w:rsid w:val="007867C9"/>
    <w:rsid w:val="00786962"/>
    <w:rsid w:val="007876F0"/>
    <w:rsid w:val="0079034A"/>
    <w:rsid w:val="00790814"/>
    <w:rsid w:val="00790F4D"/>
    <w:rsid w:val="00791309"/>
    <w:rsid w:val="0079299E"/>
    <w:rsid w:val="00793029"/>
    <w:rsid w:val="0079478D"/>
    <w:rsid w:val="007969B0"/>
    <w:rsid w:val="00796B72"/>
    <w:rsid w:val="00797F0F"/>
    <w:rsid w:val="007A014E"/>
    <w:rsid w:val="007A087E"/>
    <w:rsid w:val="007A1377"/>
    <w:rsid w:val="007A17E3"/>
    <w:rsid w:val="007A2352"/>
    <w:rsid w:val="007A2C47"/>
    <w:rsid w:val="007A35D6"/>
    <w:rsid w:val="007A3A2E"/>
    <w:rsid w:val="007A3F7A"/>
    <w:rsid w:val="007A4004"/>
    <w:rsid w:val="007A583C"/>
    <w:rsid w:val="007A7985"/>
    <w:rsid w:val="007B092D"/>
    <w:rsid w:val="007B22B1"/>
    <w:rsid w:val="007B2368"/>
    <w:rsid w:val="007B25E7"/>
    <w:rsid w:val="007B30E4"/>
    <w:rsid w:val="007B521C"/>
    <w:rsid w:val="007B632C"/>
    <w:rsid w:val="007B6CAC"/>
    <w:rsid w:val="007B6EED"/>
    <w:rsid w:val="007B7A84"/>
    <w:rsid w:val="007C0D36"/>
    <w:rsid w:val="007C0FAE"/>
    <w:rsid w:val="007C1859"/>
    <w:rsid w:val="007C26B0"/>
    <w:rsid w:val="007C329D"/>
    <w:rsid w:val="007C375E"/>
    <w:rsid w:val="007C58DE"/>
    <w:rsid w:val="007C63F7"/>
    <w:rsid w:val="007D2433"/>
    <w:rsid w:val="007D46B0"/>
    <w:rsid w:val="007D49F1"/>
    <w:rsid w:val="007D538D"/>
    <w:rsid w:val="007D5BEF"/>
    <w:rsid w:val="007D683D"/>
    <w:rsid w:val="007E020A"/>
    <w:rsid w:val="007E0D32"/>
    <w:rsid w:val="007E1877"/>
    <w:rsid w:val="007E1A8F"/>
    <w:rsid w:val="007E1D3D"/>
    <w:rsid w:val="007E27DC"/>
    <w:rsid w:val="007E375E"/>
    <w:rsid w:val="007E3A51"/>
    <w:rsid w:val="007E3B7B"/>
    <w:rsid w:val="007E4A90"/>
    <w:rsid w:val="007E59B9"/>
    <w:rsid w:val="007E5F68"/>
    <w:rsid w:val="007E6875"/>
    <w:rsid w:val="007E7BF5"/>
    <w:rsid w:val="007F0045"/>
    <w:rsid w:val="007F0745"/>
    <w:rsid w:val="007F36F2"/>
    <w:rsid w:val="007F52CD"/>
    <w:rsid w:val="007F632F"/>
    <w:rsid w:val="007F6E31"/>
    <w:rsid w:val="00800735"/>
    <w:rsid w:val="00803199"/>
    <w:rsid w:val="00803BB6"/>
    <w:rsid w:val="00803D35"/>
    <w:rsid w:val="00805DF2"/>
    <w:rsid w:val="00806FA5"/>
    <w:rsid w:val="0080730E"/>
    <w:rsid w:val="00810817"/>
    <w:rsid w:val="00812A9E"/>
    <w:rsid w:val="00812D44"/>
    <w:rsid w:val="00813B6E"/>
    <w:rsid w:val="00813D2B"/>
    <w:rsid w:val="00814824"/>
    <w:rsid w:val="00814A29"/>
    <w:rsid w:val="00814A2D"/>
    <w:rsid w:val="00815274"/>
    <w:rsid w:val="0081536B"/>
    <w:rsid w:val="00815654"/>
    <w:rsid w:val="008158F4"/>
    <w:rsid w:val="00817AB4"/>
    <w:rsid w:val="008201B9"/>
    <w:rsid w:val="0082097A"/>
    <w:rsid w:val="0082194D"/>
    <w:rsid w:val="008224EF"/>
    <w:rsid w:val="00823585"/>
    <w:rsid w:val="00823C12"/>
    <w:rsid w:val="008245A2"/>
    <w:rsid w:val="00824B89"/>
    <w:rsid w:val="00825010"/>
    <w:rsid w:val="00825F4F"/>
    <w:rsid w:val="00826945"/>
    <w:rsid w:val="00826EEE"/>
    <w:rsid w:val="008277A2"/>
    <w:rsid w:val="008305BC"/>
    <w:rsid w:val="008308A6"/>
    <w:rsid w:val="00832177"/>
    <w:rsid w:val="00832280"/>
    <w:rsid w:val="00832B60"/>
    <w:rsid w:val="008344E9"/>
    <w:rsid w:val="008373C8"/>
    <w:rsid w:val="008375F2"/>
    <w:rsid w:val="008376C7"/>
    <w:rsid w:val="0084079A"/>
    <w:rsid w:val="00841665"/>
    <w:rsid w:val="00841E06"/>
    <w:rsid w:val="0084224A"/>
    <w:rsid w:val="00842B3E"/>
    <w:rsid w:val="00843E5A"/>
    <w:rsid w:val="00844C32"/>
    <w:rsid w:val="00845767"/>
    <w:rsid w:val="00846824"/>
    <w:rsid w:val="00846D7C"/>
    <w:rsid w:val="00846E2D"/>
    <w:rsid w:val="00847B74"/>
    <w:rsid w:val="00847C3A"/>
    <w:rsid w:val="00847CDB"/>
    <w:rsid w:val="0085213A"/>
    <w:rsid w:val="0085244E"/>
    <w:rsid w:val="008541A7"/>
    <w:rsid w:val="00854F29"/>
    <w:rsid w:val="00855520"/>
    <w:rsid w:val="00855C2A"/>
    <w:rsid w:val="008568E5"/>
    <w:rsid w:val="00856F5E"/>
    <w:rsid w:val="00860E53"/>
    <w:rsid w:val="008612FC"/>
    <w:rsid w:val="00861C81"/>
    <w:rsid w:val="0086447F"/>
    <w:rsid w:val="0086451D"/>
    <w:rsid w:val="008662E1"/>
    <w:rsid w:val="00866CCD"/>
    <w:rsid w:val="00867FF1"/>
    <w:rsid w:val="00870111"/>
    <w:rsid w:val="00871AFF"/>
    <w:rsid w:val="008729DC"/>
    <w:rsid w:val="00872F9B"/>
    <w:rsid w:val="00874C79"/>
    <w:rsid w:val="008754D1"/>
    <w:rsid w:val="00877A79"/>
    <w:rsid w:val="00880BA4"/>
    <w:rsid w:val="00881657"/>
    <w:rsid w:val="00882110"/>
    <w:rsid w:val="00882475"/>
    <w:rsid w:val="00884384"/>
    <w:rsid w:val="0088508C"/>
    <w:rsid w:val="00885132"/>
    <w:rsid w:val="00885387"/>
    <w:rsid w:val="00885988"/>
    <w:rsid w:val="00885EC0"/>
    <w:rsid w:val="00885F02"/>
    <w:rsid w:val="00886A14"/>
    <w:rsid w:val="00886E0F"/>
    <w:rsid w:val="00887531"/>
    <w:rsid w:val="00890677"/>
    <w:rsid w:val="008915A2"/>
    <w:rsid w:val="008921DA"/>
    <w:rsid w:val="0089245A"/>
    <w:rsid w:val="00893331"/>
    <w:rsid w:val="0089393C"/>
    <w:rsid w:val="00893ADB"/>
    <w:rsid w:val="00894AE7"/>
    <w:rsid w:val="00894F4A"/>
    <w:rsid w:val="00894FAC"/>
    <w:rsid w:val="008955D0"/>
    <w:rsid w:val="008969C9"/>
    <w:rsid w:val="008971F8"/>
    <w:rsid w:val="0089729B"/>
    <w:rsid w:val="00897D42"/>
    <w:rsid w:val="008A00F9"/>
    <w:rsid w:val="008A3E65"/>
    <w:rsid w:val="008A42C3"/>
    <w:rsid w:val="008A4E9E"/>
    <w:rsid w:val="008A5998"/>
    <w:rsid w:val="008A5A85"/>
    <w:rsid w:val="008A7819"/>
    <w:rsid w:val="008B24FC"/>
    <w:rsid w:val="008B2914"/>
    <w:rsid w:val="008B3EFC"/>
    <w:rsid w:val="008B5202"/>
    <w:rsid w:val="008B532E"/>
    <w:rsid w:val="008B55DB"/>
    <w:rsid w:val="008C09C6"/>
    <w:rsid w:val="008C1BDB"/>
    <w:rsid w:val="008C2B9E"/>
    <w:rsid w:val="008C334C"/>
    <w:rsid w:val="008C3902"/>
    <w:rsid w:val="008C420F"/>
    <w:rsid w:val="008C5087"/>
    <w:rsid w:val="008C550F"/>
    <w:rsid w:val="008C55FC"/>
    <w:rsid w:val="008C750D"/>
    <w:rsid w:val="008C7E5C"/>
    <w:rsid w:val="008D09ED"/>
    <w:rsid w:val="008D0D11"/>
    <w:rsid w:val="008D4ACF"/>
    <w:rsid w:val="008D4CC1"/>
    <w:rsid w:val="008D64E6"/>
    <w:rsid w:val="008D678F"/>
    <w:rsid w:val="008D7708"/>
    <w:rsid w:val="008E0B59"/>
    <w:rsid w:val="008E30F5"/>
    <w:rsid w:val="008E4593"/>
    <w:rsid w:val="008E4F45"/>
    <w:rsid w:val="008E6EE8"/>
    <w:rsid w:val="008E6F5B"/>
    <w:rsid w:val="008F0BD6"/>
    <w:rsid w:val="008F3EFC"/>
    <w:rsid w:val="008F41A0"/>
    <w:rsid w:val="008F6C05"/>
    <w:rsid w:val="008F7D29"/>
    <w:rsid w:val="00903F9E"/>
    <w:rsid w:val="00904400"/>
    <w:rsid w:val="00905648"/>
    <w:rsid w:val="0090582A"/>
    <w:rsid w:val="00905BEF"/>
    <w:rsid w:val="00905DCE"/>
    <w:rsid w:val="00906B5A"/>
    <w:rsid w:val="00907930"/>
    <w:rsid w:val="00912EE4"/>
    <w:rsid w:val="00913C7A"/>
    <w:rsid w:val="00913F8C"/>
    <w:rsid w:val="00914247"/>
    <w:rsid w:val="00915045"/>
    <w:rsid w:val="00917EB3"/>
    <w:rsid w:val="009200D0"/>
    <w:rsid w:val="00920762"/>
    <w:rsid w:val="009214BA"/>
    <w:rsid w:val="009219D2"/>
    <w:rsid w:val="009220EE"/>
    <w:rsid w:val="0092227D"/>
    <w:rsid w:val="009243C2"/>
    <w:rsid w:val="0092579A"/>
    <w:rsid w:val="00925FAF"/>
    <w:rsid w:val="009269FC"/>
    <w:rsid w:val="00926D7D"/>
    <w:rsid w:val="0092742E"/>
    <w:rsid w:val="009274C5"/>
    <w:rsid w:val="00931044"/>
    <w:rsid w:val="00931172"/>
    <w:rsid w:val="00931265"/>
    <w:rsid w:val="00932718"/>
    <w:rsid w:val="00934AFB"/>
    <w:rsid w:val="009357A9"/>
    <w:rsid w:val="0093620A"/>
    <w:rsid w:val="00936AD4"/>
    <w:rsid w:val="0094214B"/>
    <w:rsid w:val="00943331"/>
    <w:rsid w:val="00943341"/>
    <w:rsid w:val="00943E45"/>
    <w:rsid w:val="00944828"/>
    <w:rsid w:val="00945D14"/>
    <w:rsid w:val="0094642A"/>
    <w:rsid w:val="00946C03"/>
    <w:rsid w:val="009515F3"/>
    <w:rsid w:val="009524F7"/>
    <w:rsid w:val="009530DD"/>
    <w:rsid w:val="00953C41"/>
    <w:rsid w:val="00953E8B"/>
    <w:rsid w:val="0095400F"/>
    <w:rsid w:val="0095408F"/>
    <w:rsid w:val="009543CE"/>
    <w:rsid w:val="00955CD4"/>
    <w:rsid w:val="0095621D"/>
    <w:rsid w:val="0095790F"/>
    <w:rsid w:val="009628B4"/>
    <w:rsid w:val="009628E0"/>
    <w:rsid w:val="00962FB5"/>
    <w:rsid w:val="00964549"/>
    <w:rsid w:val="009648AC"/>
    <w:rsid w:val="00965497"/>
    <w:rsid w:val="009655F7"/>
    <w:rsid w:val="009661F3"/>
    <w:rsid w:val="00967F69"/>
    <w:rsid w:val="00971614"/>
    <w:rsid w:val="009742CE"/>
    <w:rsid w:val="009757C3"/>
    <w:rsid w:val="009765B0"/>
    <w:rsid w:val="00976A61"/>
    <w:rsid w:val="00980BC7"/>
    <w:rsid w:val="009814B7"/>
    <w:rsid w:val="0098189D"/>
    <w:rsid w:val="009818CE"/>
    <w:rsid w:val="00982690"/>
    <w:rsid w:val="00986060"/>
    <w:rsid w:val="0098648F"/>
    <w:rsid w:val="00991F1E"/>
    <w:rsid w:val="0099231F"/>
    <w:rsid w:val="0099263B"/>
    <w:rsid w:val="00993969"/>
    <w:rsid w:val="009A0215"/>
    <w:rsid w:val="009A31C2"/>
    <w:rsid w:val="009A3749"/>
    <w:rsid w:val="009A4E58"/>
    <w:rsid w:val="009A5CA1"/>
    <w:rsid w:val="009A62DB"/>
    <w:rsid w:val="009A735C"/>
    <w:rsid w:val="009B0E89"/>
    <w:rsid w:val="009B1ADA"/>
    <w:rsid w:val="009B1EC5"/>
    <w:rsid w:val="009B3205"/>
    <w:rsid w:val="009B5F6A"/>
    <w:rsid w:val="009B5F88"/>
    <w:rsid w:val="009B5FC3"/>
    <w:rsid w:val="009B73C5"/>
    <w:rsid w:val="009B75B3"/>
    <w:rsid w:val="009C2315"/>
    <w:rsid w:val="009C2A41"/>
    <w:rsid w:val="009C2CC8"/>
    <w:rsid w:val="009C30DC"/>
    <w:rsid w:val="009C3FD6"/>
    <w:rsid w:val="009C427E"/>
    <w:rsid w:val="009C483D"/>
    <w:rsid w:val="009C5E1C"/>
    <w:rsid w:val="009C786C"/>
    <w:rsid w:val="009C7E96"/>
    <w:rsid w:val="009D001C"/>
    <w:rsid w:val="009D0077"/>
    <w:rsid w:val="009D0217"/>
    <w:rsid w:val="009D1E5D"/>
    <w:rsid w:val="009D3747"/>
    <w:rsid w:val="009D3DF6"/>
    <w:rsid w:val="009D5ABF"/>
    <w:rsid w:val="009D7A4C"/>
    <w:rsid w:val="009E04DC"/>
    <w:rsid w:val="009E0F84"/>
    <w:rsid w:val="009E17EE"/>
    <w:rsid w:val="009E2091"/>
    <w:rsid w:val="009E244D"/>
    <w:rsid w:val="009E2878"/>
    <w:rsid w:val="009E2CB0"/>
    <w:rsid w:val="009E6117"/>
    <w:rsid w:val="009F0496"/>
    <w:rsid w:val="009F15CA"/>
    <w:rsid w:val="009F1AE2"/>
    <w:rsid w:val="009F2DAC"/>
    <w:rsid w:val="009F4888"/>
    <w:rsid w:val="009F5D11"/>
    <w:rsid w:val="009F5FF6"/>
    <w:rsid w:val="009F788A"/>
    <w:rsid w:val="009F7CDF"/>
    <w:rsid w:val="009F7DB1"/>
    <w:rsid w:val="00A01C56"/>
    <w:rsid w:val="00A03C32"/>
    <w:rsid w:val="00A03E7D"/>
    <w:rsid w:val="00A03F31"/>
    <w:rsid w:val="00A06522"/>
    <w:rsid w:val="00A06B6B"/>
    <w:rsid w:val="00A071A1"/>
    <w:rsid w:val="00A07380"/>
    <w:rsid w:val="00A07F2D"/>
    <w:rsid w:val="00A107EB"/>
    <w:rsid w:val="00A10D2A"/>
    <w:rsid w:val="00A13CCA"/>
    <w:rsid w:val="00A142A1"/>
    <w:rsid w:val="00A14376"/>
    <w:rsid w:val="00A15476"/>
    <w:rsid w:val="00A166CD"/>
    <w:rsid w:val="00A17F90"/>
    <w:rsid w:val="00A21711"/>
    <w:rsid w:val="00A23957"/>
    <w:rsid w:val="00A2433C"/>
    <w:rsid w:val="00A25268"/>
    <w:rsid w:val="00A25445"/>
    <w:rsid w:val="00A2580E"/>
    <w:rsid w:val="00A25A87"/>
    <w:rsid w:val="00A25EDE"/>
    <w:rsid w:val="00A26841"/>
    <w:rsid w:val="00A275EA"/>
    <w:rsid w:val="00A27BF8"/>
    <w:rsid w:val="00A30539"/>
    <w:rsid w:val="00A30786"/>
    <w:rsid w:val="00A30ED7"/>
    <w:rsid w:val="00A324E0"/>
    <w:rsid w:val="00A3302F"/>
    <w:rsid w:val="00A3661A"/>
    <w:rsid w:val="00A36923"/>
    <w:rsid w:val="00A37E43"/>
    <w:rsid w:val="00A37F8A"/>
    <w:rsid w:val="00A40297"/>
    <w:rsid w:val="00A41141"/>
    <w:rsid w:val="00A41596"/>
    <w:rsid w:val="00A42EC4"/>
    <w:rsid w:val="00A4308C"/>
    <w:rsid w:val="00A4423F"/>
    <w:rsid w:val="00A467E1"/>
    <w:rsid w:val="00A471C6"/>
    <w:rsid w:val="00A50838"/>
    <w:rsid w:val="00A50968"/>
    <w:rsid w:val="00A51630"/>
    <w:rsid w:val="00A51ECA"/>
    <w:rsid w:val="00A5244D"/>
    <w:rsid w:val="00A55E48"/>
    <w:rsid w:val="00A56949"/>
    <w:rsid w:val="00A57E21"/>
    <w:rsid w:val="00A61B9D"/>
    <w:rsid w:val="00A628DB"/>
    <w:rsid w:val="00A637CB"/>
    <w:rsid w:val="00A64363"/>
    <w:rsid w:val="00A64610"/>
    <w:rsid w:val="00A64D50"/>
    <w:rsid w:val="00A66153"/>
    <w:rsid w:val="00A6632D"/>
    <w:rsid w:val="00A6667C"/>
    <w:rsid w:val="00A67212"/>
    <w:rsid w:val="00A702F4"/>
    <w:rsid w:val="00A706D6"/>
    <w:rsid w:val="00A70F34"/>
    <w:rsid w:val="00A711F3"/>
    <w:rsid w:val="00A7146F"/>
    <w:rsid w:val="00A71F74"/>
    <w:rsid w:val="00A722C8"/>
    <w:rsid w:val="00A72776"/>
    <w:rsid w:val="00A747EF"/>
    <w:rsid w:val="00A7694C"/>
    <w:rsid w:val="00A808DC"/>
    <w:rsid w:val="00A80B69"/>
    <w:rsid w:val="00A82A90"/>
    <w:rsid w:val="00A83B15"/>
    <w:rsid w:val="00A85596"/>
    <w:rsid w:val="00A8669A"/>
    <w:rsid w:val="00A86720"/>
    <w:rsid w:val="00A86E6E"/>
    <w:rsid w:val="00A87370"/>
    <w:rsid w:val="00A8785D"/>
    <w:rsid w:val="00A90597"/>
    <w:rsid w:val="00A90887"/>
    <w:rsid w:val="00A91075"/>
    <w:rsid w:val="00A92A9F"/>
    <w:rsid w:val="00A947AA"/>
    <w:rsid w:val="00A94C01"/>
    <w:rsid w:val="00A966C5"/>
    <w:rsid w:val="00AA0253"/>
    <w:rsid w:val="00AA090B"/>
    <w:rsid w:val="00AA1243"/>
    <w:rsid w:val="00AA25FF"/>
    <w:rsid w:val="00AA2BAA"/>
    <w:rsid w:val="00AA521F"/>
    <w:rsid w:val="00AA5BB2"/>
    <w:rsid w:val="00AA6E51"/>
    <w:rsid w:val="00AA76C4"/>
    <w:rsid w:val="00AB0650"/>
    <w:rsid w:val="00AB1729"/>
    <w:rsid w:val="00AB1EC5"/>
    <w:rsid w:val="00AB2E49"/>
    <w:rsid w:val="00AB306E"/>
    <w:rsid w:val="00AB32DA"/>
    <w:rsid w:val="00AB3987"/>
    <w:rsid w:val="00AB40C0"/>
    <w:rsid w:val="00AB44E5"/>
    <w:rsid w:val="00AB4EC5"/>
    <w:rsid w:val="00AB59DC"/>
    <w:rsid w:val="00AB73AE"/>
    <w:rsid w:val="00AC041D"/>
    <w:rsid w:val="00AC202E"/>
    <w:rsid w:val="00AC3F1A"/>
    <w:rsid w:val="00AC44E4"/>
    <w:rsid w:val="00AC563F"/>
    <w:rsid w:val="00AC6308"/>
    <w:rsid w:val="00AC66A1"/>
    <w:rsid w:val="00AC74CC"/>
    <w:rsid w:val="00AD0B98"/>
    <w:rsid w:val="00AD1DBF"/>
    <w:rsid w:val="00AD2945"/>
    <w:rsid w:val="00AD2BD8"/>
    <w:rsid w:val="00AD32AA"/>
    <w:rsid w:val="00AD4043"/>
    <w:rsid w:val="00AD423E"/>
    <w:rsid w:val="00AD52E3"/>
    <w:rsid w:val="00AE0FBF"/>
    <w:rsid w:val="00AE1563"/>
    <w:rsid w:val="00AE18DD"/>
    <w:rsid w:val="00AE2D34"/>
    <w:rsid w:val="00AE2FA9"/>
    <w:rsid w:val="00AE4062"/>
    <w:rsid w:val="00AE4B7B"/>
    <w:rsid w:val="00AE60F4"/>
    <w:rsid w:val="00AF08EF"/>
    <w:rsid w:val="00AF2AD6"/>
    <w:rsid w:val="00AF37D7"/>
    <w:rsid w:val="00AF4A4B"/>
    <w:rsid w:val="00AF5A6A"/>
    <w:rsid w:val="00AF72A8"/>
    <w:rsid w:val="00B003EE"/>
    <w:rsid w:val="00B0058B"/>
    <w:rsid w:val="00B00FAC"/>
    <w:rsid w:val="00B01700"/>
    <w:rsid w:val="00B036AF"/>
    <w:rsid w:val="00B03F3A"/>
    <w:rsid w:val="00B05BB7"/>
    <w:rsid w:val="00B07160"/>
    <w:rsid w:val="00B1286D"/>
    <w:rsid w:val="00B142FA"/>
    <w:rsid w:val="00B14E16"/>
    <w:rsid w:val="00B15079"/>
    <w:rsid w:val="00B16824"/>
    <w:rsid w:val="00B1791E"/>
    <w:rsid w:val="00B17DF1"/>
    <w:rsid w:val="00B2089F"/>
    <w:rsid w:val="00B2168D"/>
    <w:rsid w:val="00B21BC2"/>
    <w:rsid w:val="00B23DBD"/>
    <w:rsid w:val="00B23DE8"/>
    <w:rsid w:val="00B25ED7"/>
    <w:rsid w:val="00B26080"/>
    <w:rsid w:val="00B26BDF"/>
    <w:rsid w:val="00B26C0E"/>
    <w:rsid w:val="00B26D90"/>
    <w:rsid w:val="00B27170"/>
    <w:rsid w:val="00B324B6"/>
    <w:rsid w:val="00B3326D"/>
    <w:rsid w:val="00B33827"/>
    <w:rsid w:val="00B338ED"/>
    <w:rsid w:val="00B35A9D"/>
    <w:rsid w:val="00B35F83"/>
    <w:rsid w:val="00B3662E"/>
    <w:rsid w:val="00B36884"/>
    <w:rsid w:val="00B3768F"/>
    <w:rsid w:val="00B37F8C"/>
    <w:rsid w:val="00B40F09"/>
    <w:rsid w:val="00B42EF0"/>
    <w:rsid w:val="00B43B49"/>
    <w:rsid w:val="00B43D14"/>
    <w:rsid w:val="00B45B6F"/>
    <w:rsid w:val="00B46180"/>
    <w:rsid w:val="00B46C3C"/>
    <w:rsid w:val="00B478D2"/>
    <w:rsid w:val="00B5000F"/>
    <w:rsid w:val="00B509C5"/>
    <w:rsid w:val="00B52C40"/>
    <w:rsid w:val="00B52C96"/>
    <w:rsid w:val="00B52CD3"/>
    <w:rsid w:val="00B533F2"/>
    <w:rsid w:val="00B551A5"/>
    <w:rsid w:val="00B552CC"/>
    <w:rsid w:val="00B56E1D"/>
    <w:rsid w:val="00B57500"/>
    <w:rsid w:val="00B606C7"/>
    <w:rsid w:val="00B6108C"/>
    <w:rsid w:val="00B61175"/>
    <w:rsid w:val="00B61A11"/>
    <w:rsid w:val="00B61F40"/>
    <w:rsid w:val="00B62DE5"/>
    <w:rsid w:val="00B633B1"/>
    <w:rsid w:val="00B634B3"/>
    <w:rsid w:val="00B640AD"/>
    <w:rsid w:val="00B640AF"/>
    <w:rsid w:val="00B64212"/>
    <w:rsid w:val="00B64425"/>
    <w:rsid w:val="00B64A44"/>
    <w:rsid w:val="00B6605B"/>
    <w:rsid w:val="00B67AAB"/>
    <w:rsid w:val="00B70BCE"/>
    <w:rsid w:val="00B71C1B"/>
    <w:rsid w:val="00B7228B"/>
    <w:rsid w:val="00B72C0F"/>
    <w:rsid w:val="00B7345A"/>
    <w:rsid w:val="00B750E8"/>
    <w:rsid w:val="00B751C5"/>
    <w:rsid w:val="00B80793"/>
    <w:rsid w:val="00B8079B"/>
    <w:rsid w:val="00B80BD0"/>
    <w:rsid w:val="00B82DC7"/>
    <w:rsid w:val="00B843A5"/>
    <w:rsid w:val="00B85B03"/>
    <w:rsid w:val="00B86A6B"/>
    <w:rsid w:val="00B8787B"/>
    <w:rsid w:val="00B90FB9"/>
    <w:rsid w:val="00B92A99"/>
    <w:rsid w:val="00B92B49"/>
    <w:rsid w:val="00B9456C"/>
    <w:rsid w:val="00BA0E74"/>
    <w:rsid w:val="00BA36DE"/>
    <w:rsid w:val="00BA6BD3"/>
    <w:rsid w:val="00BA7D42"/>
    <w:rsid w:val="00BB0029"/>
    <w:rsid w:val="00BB03EB"/>
    <w:rsid w:val="00BB04C1"/>
    <w:rsid w:val="00BB277F"/>
    <w:rsid w:val="00BB59A6"/>
    <w:rsid w:val="00BB5FE3"/>
    <w:rsid w:val="00BB5FE4"/>
    <w:rsid w:val="00BB6B3F"/>
    <w:rsid w:val="00BB766E"/>
    <w:rsid w:val="00BB777C"/>
    <w:rsid w:val="00BC047F"/>
    <w:rsid w:val="00BC1670"/>
    <w:rsid w:val="00BC2136"/>
    <w:rsid w:val="00BC2FF7"/>
    <w:rsid w:val="00BC314C"/>
    <w:rsid w:val="00BC3AB3"/>
    <w:rsid w:val="00BC423F"/>
    <w:rsid w:val="00BC4754"/>
    <w:rsid w:val="00BC4D0A"/>
    <w:rsid w:val="00BC5F30"/>
    <w:rsid w:val="00BC64FA"/>
    <w:rsid w:val="00BC6CBC"/>
    <w:rsid w:val="00BC7222"/>
    <w:rsid w:val="00BC757B"/>
    <w:rsid w:val="00BC7853"/>
    <w:rsid w:val="00BD02F4"/>
    <w:rsid w:val="00BD1310"/>
    <w:rsid w:val="00BD137E"/>
    <w:rsid w:val="00BD1500"/>
    <w:rsid w:val="00BD32BA"/>
    <w:rsid w:val="00BD3641"/>
    <w:rsid w:val="00BD39ED"/>
    <w:rsid w:val="00BD3CC0"/>
    <w:rsid w:val="00BD54B6"/>
    <w:rsid w:val="00BD59C5"/>
    <w:rsid w:val="00BD5ED5"/>
    <w:rsid w:val="00BD6DCC"/>
    <w:rsid w:val="00BD7A6A"/>
    <w:rsid w:val="00BE04BC"/>
    <w:rsid w:val="00BE19FC"/>
    <w:rsid w:val="00BE34FD"/>
    <w:rsid w:val="00BE4001"/>
    <w:rsid w:val="00BE4857"/>
    <w:rsid w:val="00BE50F9"/>
    <w:rsid w:val="00BF007B"/>
    <w:rsid w:val="00BF0FA1"/>
    <w:rsid w:val="00BF1341"/>
    <w:rsid w:val="00BF3444"/>
    <w:rsid w:val="00BF3A4C"/>
    <w:rsid w:val="00BF53F7"/>
    <w:rsid w:val="00BF6542"/>
    <w:rsid w:val="00BF702E"/>
    <w:rsid w:val="00C0001C"/>
    <w:rsid w:val="00C0058B"/>
    <w:rsid w:val="00C01978"/>
    <w:rsid w:val="00C02A5C"/>
    <w:rsid w:val="00C04FB0"/>
    <w:rsid w:val="00C055BA"/>
    <w:rsid w:val="00C05B3A"/>
    <w:rsid w:val="00C06238"/>
    <w:rsid w:val="00C06A69"/>
    <w:rsid w:val="00C06B81"/>
    <w:rsid w:val="00C10C18"/>
    <w:rsid w:val="00C122C7"/>
    <w:rsid w:val="00C129A9"/>
    <w:rsid w:val="00C12BB6"/>
    <w:rsid w:val="00C12C38"/>
    <w:rsid w:val="00C1337D"/>
    <w:rsid w:val="00C1418E"/>
    <w:rsid w:val="00C147A2"/>
    <w:rsid w:val="00C15CE7"/>
    <w:rsid w:val="00C1637B"/>
    <w:rsid w:val="00C16AF5"/>
    <w:rsid w:val="00C16EFA"/>
    <w:rsid w:val="00C17B18"/>
    <w:rsid w:val="00C17BD3"/>
    <w:rsid w:val="00C20A86"/>
    <w:rsid w:val="00C22629"/>
    <w:rsid w:val="00C24200"/>
    <w:rsid w:val="00C24726"/>
    <w:rsid w:val="00C248A3"/>
    <w:rsid w:val="00C24B4F"/>
    <w:rsid w:val="00C277B8"/>
    <w:rsid w:val="00C32F51"/>
    <w:rsid w:val="00C33795"/>
    <w:rsid w:val="00C34A6B"/>
    <w:rsid w:val="00C359D1"/>
    <w:rsid w:val="00C35CE5"/>
    <w:rsid w:val="00C37ECD"/>
    <w:rsid w:val="00C40989"/>
    <w:rsid w:val="00C40C4F"/>
    <w:rsid w:val="00C41484"/>
    <w:rsid w:val="00C419E0"/>
    <w:rsid w:val="00C430F4"/>
    <w:rsid w:val="00C4332F"/>
    <w:rsid w:val="00C433B9"/>
    <w:rsid w:val="00C4355E"/>
    <w:rsid w:val="00C447AB"/>
    <w:rsid w:val="00C449A7"/>
    <w:rsid w:val="00C45A88"/>
    <w:rsid w:val="00C5051A"/>
    <w:rsid w:val="00C50F1A"/>
    <w:rsid w:val="00C51536"/>
    <w:rsid w:val="00C51A90"/>
    <w:rsid w:val="00C52E8E"/>
    <w:rsid w:val="00C532F7"/>
    <w:rsid w:val="00C5330C"/>
    <w:rsid w:val="00C53C72"/>
    <w:rsid w:val="00C53DFF"/>
    <w:rsid w:val="00C544DF"/>
    <w:rsid w:val="00C55AD1"/>
    <w:rsid w:val="00C566BB"/>
    <w:rsid w:val="00C5707C"/>
    <w:rsid w:val="00C57093"/>
    <w:rsid w:val="00C57C36"/>
    <w:rsid w:val="00C605E5"/>
    <w:rsid w:val="00C6197C"/>
    <w:rsid w:val="00C6204F"/>
    <w:rsid w:val="00C64030"/>
    <w:rsid w:val="00C6408B"/>
    <w:rsid w:val="00C668AD"/>
    <w:rsid w:val="00C66CBF"/>
    <w:rsid w:val="00C67749"/>
    <w:rsid w:val="00C703C3"/>
    <w:rsid w:val="00C70CE6"/>
    <w:rsid w:val="00C70ED4"/>
    <w:rsid w:val="00C73A5B"/>
    <w:rsid w:val="00C7419C"/>
    <w:rsid w:val="00C74A08"/>
    <w:rsid w:val="00C7678A"/>
    <w:rsid w:val="00C767E5"/>
    <w:rsid w:val="00C76DEE"/>
    <w:rsid w:val="00C8013C"/>
    <w:rsid w:val="00C81160"/>
    <w:rsid w:val="00C817C5"/>
    <w:rsid w:val="00C81C52"/>
    <w:rsid w:val="00C860E8"/>
    <w:rsid w:val="00C86F6F"/>
    <w:rsid w:val="00C876C3"/>
    <w:rsid w:val="00C90072"/>
    <w:rsid w:val="00C91031"/>
    <w:rsid w:val="00C91680"/>
    <w:rsid w:val="00C92E07"/>
    <w:rsid w:val="00C92E60"/>
    <w:rsid w:val="00C939BC"/>
    <w:rsid w:val="00C95346"/>
    <w:rsid w:val="00CA0672"/>
    <w:rsid w:val="00CA0E44"/>
    <w:rsid w:val="00CA1EC7"/>
    <w:rsid w:val="00CA1FB9"/>
    <w:rsid w:val="00CA226A"/>
    <w:rsid w:val="00CA2AAB"/>
    <w:rsid w:val="00CA2BAA"/>
    <w:rsid w:val="00CA4070"/>
    <w:rsid w:val="00CA4420"/>
    <w:rsid w:val="00CA4505"/>
    <w:rsid w:val="00CA458B"/>
    <w:rsid w:val="00CA60C2"/>
    <w:rsid w:val="00CA62D9"/>
    <w:rsid w:val="00CA65D1"/>
    <w:rsid w:val="00CB03D5"/>
    <w:rsid w:val="00CB29DB"/>
    <w:rsid w:val="00CB4841"/>
    <w:rsid w:val="00CB5928"/>
    <w:rsid w:val="00CB5E2B"/>
    <w:rsid w:val="00CB5F08"/>
    <w:rsid w:val="00CC025F"/>
    <w:rsid w:val="00CC1918"/>
    <w:rsid w:val="00CC1DDF"/>
    <w:rsid w:val="00CC306C"/>
    <w:rsid w:val="00CC3656"/>
    <w:rsid w:val="00CC4FD6"/>
    <w:rsid w:val="00CC53BB"/>
    <w:rsid w:val="00CC5818"/>
    <w:rsid w:val="00CC5959"/>
    <w:rsid w:val="00CC5B95"/>
    <w:rsid w:val="00CC5D7F"/>
    <w:rsid w:val="00CC71F1"/>
    <w:rsid w:val="00CD1571"/>
    <w:rsid w:val="00CD242C"/>
    <w:rsid w:val="00CD2F4F"/>
    <w:rsid w:val="00CD4F3D"/>
    <w:rsid w:val="00CD5120"/>
    <w:rsid w:val="00CD51D7"/>
    <w:rsid w:val="00CD5F2F"/>
    <w:rsid w:val="00CD6119"/>
    <w:rsid w:val="00CD6E70"/>
    <w:rsid w:val="00CD79A3"/>
    <w:rsid w:val="00CE0317"/>
    <w:rsid w:val="00CE1FE3"/>
    <w:rsid w:val="00CE3830"/>
    <w:rsid w:val="00CE3AF6"/>
    <w:rsid w:val="00CE435A"/>
    <w:rsid w:val="00CE501F"/>
    <w:rsid w:val="00CE6BBB"/>
    <w:rsid w:val="00CE7513"/>
    <w:rsid w:val="00CF092E"/>
    <w:rsid w:val="00CF0976"/>
    <w:rsid w:val="00CF0F05"/>
    <w:rsid w:val="00CF2ED4"/>
    <w:rsid w:val="00CF32A0"/>
    <w:rsid w:val="00CF44A2"/>
    <w:rsid w:val="00CF4514"/>
    <w:rsid w:val="00CF4573"/>
    <w:rsid w:val="00CF4D2B"/>
    <w:rsid w:val="00CF5941"/>
    <w:rsid w:val="00CF5A7A"/>
    <w:rsid w:val="00CF63BE"/>
    <w:rsid w:val="00CF75BD"/>
    <w:rsid w:val="00D005DB"/>
    <w:rsid w:val="00D00751"/>
    <w:rsid w:val="00D01842"/>
    <w:rsid w:val="00D01A86"/>
    <w:rsid w:val="00D02865"/>
    <w:rsid w:val="00D028D0"/>
    <w:rsid w:val="00D03556"/>
    <w:rsid w:val="00D040C1"/>
    <w:rsid w:val="00D05150"/>
    <w:rsid w:val="00D05F6A"/>
    <w:rsid w:val="00D06277"/>
    <w:rsid w:val="00D0716D"/>
    <w:rsid w:val="00D07965"/>
    <w:rsid w:val="00D07CC1"/>
    <w:rsid w:val="00D07E38"/>
    <w:rsid w:val="00D10B8E"/>
    <w:rsid w:val="00D10E80"/>
    <w:rsid w:val="00D140AD"/>
    <w:rsid w:val="00D14581"/>
    <w:rsid w:val="00D14D6C"/>
    <w:rsid w:val="00D14DDF"/>
    <w:rsid w:val="00D16615"/>
    <w:rsid w:val="00D16B58"/>
    <w:rsid w:val="00D179B0"/>
    <w:rsid w:val="00D20670"/>
    <w:rsid w:val="00D21261"/>
    <w:rsid w:val="00D22CEB"/>
    <w:rsid w:val="00D250BB"/>
    <w:rsid w:val="00D25942"/>
    <w:rsid w:val="00D3077B"/>
    <w:rsid w:val="00D316B5"/>
    <w:rsid w:val="00D31E64"/>
    <w:rsid w:val="00D31FFE"/>
    <w:rsid w:val="00D33EFC"/>
    <w:rsid w:val="00D368F2"/>
    <w:rsid w:val="00D36DD6"/>
    <w:rsid w:val="00D37100"/>
    <w:rsid w:val="00D4142F"/>
    <w:rsid w:val="00D41AE3"/>
    <w:rsid w:val="00D41CC4"/>
    <w:rsid w:val="00D42A45"/>
    <w:rsid w:val="00D464DB"/>
    <w:rsid w:val="00D52E50"/>
    <w:rsid w:val="00D531CB"/>
    <w:rsid w:val="00D5351D"/>
    <w:rsid w:val="00D53C64"/>
    <w:rsid w:val="00D53C67"/>
    <w:rsid w:val="00D55FC8"/>
    <w:rsid w:val="00D57EE1"/>
    <w:rsid w:val="00D61E07"/>
    <w:rsid w:val="00D620C8"/>
    <w:rsid w:val="00D62533"/>
    <w:rsid w:val="00D62AF5"/>
    <w:rsid w:val="00D62C5B"/>
    <w:rsid w:val="00D63659"/>
    <w:rsid w:val="00D6454F"/>
    <w:rsid w:val="00D64E98"/>
    <w:rsid w:val="00D652BF"/>
    <w:rsid w:val="00D65BDF"/>
    <w:rsid w:val="00D65FF0"/>
    <w:rsid w:val="00D66D25"/>
    <w:rsid w:val="00D67DB8"/>
    <w:rsid w:val="00D701C1"/>
    <w:rsid w:val="00D7101B"/>
    <w:rsid w:val="00D72746"/>
    <w:rsid w:val="00D73C63"/>
    <w:rsid w:val="00D75DFD"/>
    <w:rsid w:val="00D7676E"/>
    <w:rsid w:val="00D77265"/>
    <w:rsid w:val="00D775F9"/>
    <w:rsid w:val="00D81D88"/>
    <w:rsid w:val="00D82958"/>
    <w:rsid w:val="00D82A0C"/>
    <w:rsid w:val="00D841C4"/>
    <w:rsid w:val="00D84997"/>
    <w:rsid w:val="00D854F5"/>
    <w:rsid w:val="00D86F88"/>
    <w:rsid w:val="00D87A03"/>
    <w:rsid w:val="00D87A4A"/>
    <w:rsid w:val="00D901E0"/>
    <w:rsid w:val="00D90557"/>
    <w:rsid w:val="00D90AF7"/>
    <w:rsid w:val="00D90DFE"/>
    <w:rsid w:val="00D92D25"/>
    <w:rsid w:val="00D94CD6"/>
    <w:rsid w:val="00D94EC0"/>
    <w:rsid w:val="00D951F2"/>
    <w:rsid w:val="00D95461"/>
    <w:rsid w:val="00D97BAD"/>
    <w:rsid w:val="00DA0916"/>
    <w:rsid w:val="00DA247E"/>
    <w:rsid w:val="00DA3683"/>
    <w:rsid w:val="00DA3801"/>
    <w:rsid w:val="00DA4343"/>
    <w:rsid w:val="00DA579D"/>
    <w:rsid w:val="00DA5A61"/>
    <w:rsid w:val="00DB0AF5"/>
    <w:rsid w:val="00DB1853"/>
    <w:rsid w:val="00DB1C47"/>
    <w:rsid w:val="00DB2E09"/>
    <w:rsid w:val="00DB2FF5"/>
    <w:rsid w:val="00DB3603"/>
    <w:rsid w:val="00DB3C92"/>
    <w:rsid w:val="00DB4C5C"/>
    <w:rsid w:val="00DB5371"/>
    <w:rsid w:val="00DB6E31"/>
    <w:rsid w:val="00DB72C9"/>
    <w:rsid w:val="00DC007D"/>
    <w:rsid w:val="00DC00BC"/>
    <w:rsid w:val="00DC0D50"/>
    <w:rsid w:val="00DC1D93"/>
    <w:rsid w:val="00DC1E15"/>
    <w:rsid w:val="00DC23BA"/>
    <w:rsid w:val="00DC2589"/>
    <w:rsid w:val="00DC2C45"/>
    <w:rsid w:val="00DC3D1D"/>
    <w:rsid w:val="00DC4B1D"/>
    <w:rsid w:val="00DC510B"/>
    <w:rsid w:val="00DC52EA"/>
    <w:rsid w:val="00DC5303"/>
    <w:rsid w:val="00DC5FF4"/>
    <w:rsid w:val="00DC6944"/>
    <w:rsid w:val="00DC755D"/>
    <w:rsid w:val="00DD0A72"/>
    <w:rsid w:val="00DD0AD3"/>
    <w:rsid w:val="00DD0CA2"/>
    <w:rsid w:val="00DD0CFE"/>
    <w:rsid w:val="00DD130F"/>
    <w:rsid w:val="00DD1C2F"/>
    <w:rsid w:val="00DD1D0D"/>
    <w:rsid w:val="00DD2965"/>
    <w:rsid w:val="00DD47EF"/>
    <w:rsid w:val="00DD56D5"/>
    <w:rsid w:val="00DD7364"/>
    <w:rsid w:val="00DE1DE6"/>
    <w:rsid w:val="00DE2E33"/>
    <w:rsid w:val="00DE54B1"/>
    <w:rsid w:val="00DE5625"/>
    <w:rsid w:val="00DE6069"/>
    <w:rsid w:val="00DE644E"/>
    <w:rsid w:val="00DE65B6"/>
    <w:rsid w:val="00DE6B97"/>
    <w:rsid w:val="00DE739A"/>
    <w:rsid w:val="00DF10CC"/>
    <w:rsid w:val="00DF1E32"/>
    <w:rsid w:val="00DF26AA"/>
    <w:rsid w:val="00DF3DBA"/>
    <w:rsid w:val="00DF5D92"/>
    <w:rsid w:val="00DF6342"/>
    <w:rsid w:val="00DF6C96"/>
    <w:rsid w:val="00DF734F"/>
    <w:rsid w:val="00DF7B87"/>
    <w:rsid w:val="00E001E2"/>
    <w:rsid w:val="00E0038A"/>
    <w:rsid w:val="00E02274"/>
    <w:rsid w:val="00E03CED"/>
    <w:rsid w:val="00E045C7"/>
    <w:rsid w:val="00E04C26"/>
    <w:rsid w:val="00E04FD2"/>
    <w:rsid w:val="00E054E9"/>
    <w:rsid w:val="00E07FAE"/>
    <w:rsid w:val="00E1136B"/>
    <w:rsid w:val="00E1178F"/>
    <w:rsid w:val="00E130A4"/>
    <w:rsid w:val="00E134BE"/>
    <w:rsid w:val="00E14BC4"/>
    <w:rsid w:val="00E160D7"/>
    <w:rsid w:val="00E173F2"/>
    <w:rsid w:val="00E1750F"/>
    <w:rsid w:val="00E201A2"/>
    <w:rsid w:val="00E206A1"/>
    <w:rsid w:val="00E20FB3"/>
    <w:rsid w:val="00E214C8"/>
    <w:rsid w:val="00E21A45"/>
    <w:rsid w:val="00E21C8E"/>
    <w:rsid w:val="00E22235"/>
    <w:rsid w:val="00E229F8"/>
    <w:rsid w:val="00E22EFF"/>
    <w:rsid w:val="00E237E4"/>
    <w:rsid w:val="00E23CBB"/>
    <w:rsid w:val="00E2412C"/>
    <w:rsid w:val="00E25138"/>
    <w:rsid w:val="00E25C3D"/>
    <w:rsid w:val="00E26130"/>
    <w:rsid w:val="00E261BF"/>
    <w:rsid w:val="00E26663"/>
    <w:rsid w:val="00E27611"/>
    <w:rsid w:val="00E3086F"/>
    <w:rsid w:val="00E3101D"/>
    <w:rsid w:val="00E3171B"/>
    <w:rsid w:val="00E32A9C"/>
    <w:rsid w:val="00E33333"/>
    <w:rsid w:val="00E35204"/>
    <w:rsid w:val="00E362F0"/>
    <w:rsid w:val="00E36952"/>
    <w:rsid w:val="00E36F49"/>
    <w:rsid w:val="00E37414"/>
    <w:rsid w:val="00E37542"/>
    <w:rsid w:val="00E37871"/>
    <w:rsid w:val="00E41C3C"/>
    <w:rsid w:val="00E41E26"/>
    <w:rsid w:val="00E42667"/>
    <w:rsid w:val="00E42B6C"/>
    <w:rsid w:val="00E45435"/>
    <w:rsid w:val="00E4559C"/>
    <w:rsid w:val="00E46154"/>
    <w:rsid w:val="00E46C64"/>
    <w:rsid w:val="00E46C88"/>
    <w:rsid w:val="00E46FDD"/>
    <w:rsid w:val="00E471AC"/>
    <w:rsid w:val="00E500CC"/>
    <w:rsid w:val="00E505A4"/>
    <w:rsid w:val="00E518B1"/>
    <w:rsid w:val="00E5193C"/>
    <w:rsid w:val="00E527FE"/>
    <w:rsid w:val="00E56037"/>
    <w:rsid w:val="00E56BA7"/>
    <w:rsid w:val="00E5793F"/>
    <w:rsid w:val="00E60422"/>
    <w:rsid w:val="00E611E2"/>
    <w:rsid w:val="00E621F5"/>
    <w:rsid w:val="00E661C4"/>
    <w:rsid w:val="00E665D0"/>
    <w:rsid w:val="00E67754"/>
    <w:rsid w:val="00E67875"/>
    <w:rsid w:val="00E715FA"/>
    <w:rsid w:val="00E72967"/>
    <w:rsid w:val="00E74B6C"/>
    <w:rsid w:val="00E76D61"/>
    <w:rsid w:val="00E77739"/>
    <w:rsid w:val="00E777E7"/>
    <w:rsid w:val="00E80BA7"/>
    <w:rsid w:val="00E80E19"/>
    <w:rsid w:val="00E81E27"/>
    <w:rsid w:val="00E8682B"/>
    <w:rsid w:val="00E923FA"/>
    <w:rsid w:val="00E92DAE"/>
    <w:rsid w:val="00E9580A"/>
    <w:rsid w:val="00E95BFC"/>
    <w:rsid w:val="00EA098B"/>
    <w:rsid w:val="00EA0B03"/>
    <w:rsid w:val="00EA1E98"/>
    <w:rsid w:val="00EA2530"/>
    <w:rsid w:val="00EA26D6"/>
    <w:rsid w:val="00EA3B1B"/>
    <w:rsid w:val="00EA4213"/>
    <w:rsid w:val="00EA4D12"/>
    <w:rsid w:val="00EA513D"/>
    <w:rsid w:val="00EA51BA"/>
    <w:rsid w:val="00EA633C"/>
    <w:rsid w:val="00EA6FED"/>
    <w:rsid w:val="00EB0283"/>
    <w:rsid w:val="00EB0B51"/>
    <w:rsid w:val="00EB1C45"/>
    <w:rsid w:val="00EB27DA"/>
    <w:rsid w:val="00EB2DE4"/>
    <w:rsid w:val="00EB3559"/>
    <w:rsid w:val="00EB3E17"/>
    <w:rsid w:val="00EB4B49"/>
    <w:rsid w:val="00EB5BA6"/>
    <w:rsid w:val="00EB5F19"/>
    <w:rsid w:val="00EB7077"/>
    <w:rsid w:val="00EC0530"/>
    <w:rsid w:val="00EC339E"/>
    <w:rsid w:val="00EC5735"/>
    <w:rsid w:val="00EC664E"/>
    <w:rsid w:val="00EC71FF"/>
    <w:rsid w:val="00ED065F"/>
    <w:rsid w:val="00ED1E79"/>
    <w:rsid w:val="00ED3254"/>
    <w:rsid w:val="00ED337C"/>
    <w:rsid w:val="00ED60E5"/>
    <w:rsid w:val="00ED7C8B"/>
    <w:rsid w:val="00ED7E9F"/>
    <w:rsid w:val="00EE0915"/>
    <w:rsid w:val="00EE191D"/>
    <w:rsid w:val="00EE1C36"/>
    <w:rsid w:val="00EE1D47"/>
    <w:rsid w:val="00EE3277"/>
    <w:rsid w:val="00EE4728"/>
    <w:rsid w:val="00EF0ACA"/>
    <w:rsid w:val="00EF0EBF"/>
    <w:rsid w:val="00EF1CB7"/>
    <w:rsid w:val="00EF3C36"/>
    <w:rsid w:val="00EF59DD"/>
    <w:rsid w:val="00EF64C5"/>
    <w:rsid w:val="00EF6A2F"/>
    <w:rsid w:val="00EF721B"/>
    <w:rsid w:val="00EF7E53"/>
    <w:rsid w:val="00F0111C"/>
    <w:rsid w:val="00F0139C"/>
    <w:rsid w:val="00F10DDF"/>
    <w:rsid w:val="00F116AC"/>
    <w:rsid w:val="00F118BC"/>
    <w:rsid w:val="00F11ACC"/>
    <w:rsid w:val="00F12CB0"/>
    <w:rsid w:val="00F14A5B"/>
    <w:rsid w:val="00F153C9"/>
    <w:rsid w:val="00F15BA1"/>
    <w:rsid w:val="00F17694"/>
    <w:rsid w:val="00F213FF"/>
    <w:rsid w:val="00F23EFF"/>
    <w:rsid w:val="00F25817"/>
    <w:rsid w:val="00F25852"/>
    <w:rsid w:val="00F25ACC"/>
    <w:rsid w:val="00F25DA7"/>
    <w:rsid w:val="00F26A17"/>
    <w:rsid w:val="00F26BDA"/>
    <w:rsid w:val="00F303C5"/>
    <w:rsid w:val="00F3090F"/>
    <w:rsid w:val="00F32630"/>
    <w:rsid w:val="00F32BFD"/>
    <w:rsid w:val="00F337FF"/>
    <w:rsid w:val="00F33D85"/>
    <w:rsid w:val="00F40AB3"/>
    <w:rsid w:val="00F40E05"/>
    <w:rsid w:val="00F411B6"/>
    <w:rsid w:val="00F4493B"/>
    <w:rsid w:val="00F449CF"/>
    <w:rsid w:val="00F453E1"/>
    <w:rsid w:val="00F4701B"/>
    <w:rsid w:val="00F4756A"/>
    <w:rsid w:val="00F47DD3"/>
    <w:rsid w:val="00F519B9"/>
    <w:rsid w:val="00F51DDB"/>
    <w:rsid w:val="00F52623"/>
    <w:rsid w:val="00F54975"/>
    <w:rsid w:val="00F54C6E"/>
    <w:rsid w:val="00F55151"/>
    <w:rsid w:val="00F55CDF"/>
    <w:rsid w:val="00F56316"/>
    <w:rsid w:val="00F56D99"/>
    <w:rsid w:val="00F572D5"/>
    <w:rsid w:val="00F60564"/>
    <w:rsid w:val="00F6079F"/>
    <w:rsid w:val="00F609CC"/>
    <w:rsid w:val="00F611BA"/>
    <w:rsid w:val="00F6136D"/>
    <w:rsid w:val="00F61510"/>
    <w:rsid w:val="00F617BE"/>
    <w:rsid w:val="00F6231E"/>
    <w:rsid w:val="00F628ED"/>
    <w:rsid w:val="00F65324"/>
    <w:rsid w:val="00F66444"/>
    <w:rsid w:val="00F66BFC"/>
    <w:rsid w:val="00F6764A"/>
    <w:rsid w:val="00F704CD"/>
    <w:rsid w:val="00F70541"/>
    <w:rsid w:val="00F70A03"/>
    <w:rsid w:val="00F71DF6"/>
    <w:rsid w:val="00F72826"/>
    <w:rsid w:val="00F746CC"/>
    <w:rsid w:val="00F748EC"/>
    <w:rsid w:val="00F74A5C"/>
    <w:rsid w:val="00F761D2"/>
    <w:rsid w:val="00F76B25"/>
    <w:rsid w:val="00F77563"/>
    <w:rsid w:val="00F77B06"/>
    <w:rsid w:val="00F80774"/>
    <w:rsid w:val="00F8108F"/>
    <w:rsid w:val="00F82A1B"/>
    <w:rsid w:val="00F83F6E"/>
    <w:rsid w:val="00F84EC5"/>
    <w:rsid w:val="00F84F66"/>
    <w:rsid w:val="00F85B28"/>
    <w:rsid w:val="00F9059C"/>
    <w:rsid w:val="00F92234"/>
    <w:rsid w:val="00F93983"/>
    <w:rsid w:val="00F941C4"/>
    <w:rsid w:val="00F96BB7"/>
    <w:rsid w:val="00FA0726"/>
    <w:rsid w:val="00FA126D"/>
    <w:rsid w:val="00FA19C5"/>
    <w:rsid w:val="00FA1F43"/>
    <w:rsid w:val="00FA1F4E"/>
    <w:rsid w:val="00FA2D5B"/>
    <w:rsid w:val="00FA4485"/>
    <w:rsid w:val="00FA44F8"/>
    <w:rsid w:val="00FA48CD"/>
    <w:rsid w:val="00FA6605"/>
    <w:rsid w:val="00FA67E2"/>
    <w:rsid w:val="00FA68A7"/>
    <w:rsid w:val="00FB01C6"/>
    <w:rsid w:val="00FB1008"/>
    <w:rsid w:val="00FB278C"/>
    <w:rsid w:val="00FB27E8"/>
    <w:rsid w:val="00FB2CC6"/>
    <w:rsid w:val="00FB4A25"/>
    <w:rsid w:val="00FB4C0E"/>
    <w:rsid w:val="00FB517D"/>
    <w:rsid w:val="00FB6249"/>
    <w:rsid w:val="00FB6388"/>
    <w:rsid w:val="00FB689F"/>
    <w:rsid w:val="00FB6B06"/>
    <w:rsid w:val="00FB7CAE"/>
    <w:rsid w:val="00FC03B3"/>
    <w:rsid w:val="00FC594C"/>
    <w:rsid w:val="00FC60E3"/>
    <w:rsid w:val="00FC6C1A"/>
    <w:rsid w:val="00FC7276"/>
    <w:rsid w:val="00FD018B"/>
    <w:rsid w:val="00FD029E"/>
    <w:rsid w:val="00FD1C8A"/>
    <w:rsid w:val="00FD54D7"/>
    <w:rsid w:val="00FD5EA4"/>
    <w:rsid w:val="00FD60B7"/>
    <w:rsid w:val="00FD641D"/>
    <w:rsid w:val="00FD67A9"/>
    <w:rsid w:val="00FE1635"/>
    <w:rsid w:val="00FE2207"/>
    <w:rsid w:val="00FE292A"/>
    <w:rsid w:val="00FE2E90"/>
    <w:rsid w:val="00FE40B5"/>
    <w:rsid w:val="00FE5511"/>
    <w:rsid w:val="00FE6800"/>
    <w:rsid w:val="00FE7FD8"/>
    <w:rsid w:val="00FF0355"/>
    <w:rsid w:val="00FF0A4E"/>
    <w:rsid w:val="00FF14A2"/>
    <w:rsid w:val="00FF347C"/>
    <w:rsid w:val="00FF4BB3"/>
    <w:rsid w:val="00FF550A"/>
    <w:rsid w:val="00FF5CE6"/>
    <w:rsid w:val="00FF6DB3"/>
    <w:rsid w:val="00FF7167"/>
    <w:rsid w:val="00FF71DD"/>
    <w:rsid w:val="00FF77FD"/>
    <w:rsid w:val="00FF7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41A44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qFormat="1"/>
    <w:lsdException w:name="index heading" w:uiPriority="99"/>
    <w:lsdException w:name="caption" w:semiHidden="1" w:uiPriority="99" w:unhideWhenUsed="1" w:qFormat="1"/>
    <w:lsdException w:name="table of figures" w:uiPriority="99"/>
    <w:lsdException w:name="footnote reference" w:uiPriority="99"/>
    <w:lsdException w:name="annotation reference" w:uiPriority="99"/>
    <w:lsdException w:name="line number" w:uiPriority="99"/>
    <w:lsdException w:name="page number" w:uiPriority="99" w:qFormat="1"/>
    <w:lsdException w:name="endnote text" w:uiPriority="99"/>
    <w:lsdException w:name="List" w:uiPriority="99"/>
    <w:lsdException w:name="List Bullet" w:uiPriority="1" w:qFormat="1"/>
    <w:lsdException w:name="List Bullet 2" w:uiPriority="1" w:qFormat="1"/>
    <w:lsdException w:name="List Bullet 3" w:uiPriority="1" w:qFormat="1"/>
    <w:lsdException w:name="List Bullet 4" w:uiPriority="1" w:qFormat="1"/>
    <w:lsdException w:name="Title" w:uiPriority="16" w:qFormat="1"/>
    <w:lsdException w:name="Default Paragraph Font" w:uiPriority="1"/>
    <w:lsdException w:name="Body Text" w:qFormat="1"/>
    <w:lsdException w:name="Body Text Indent" w:uiPriority="99"/>
    <w:lsdException w:name="Subtitle" w:qFormat="1"/>
    <w:lsdException w:name="Hyperlink" w:uiPriority="99" w:qFormat="1"/>
    <w:lsdException w:name="FollowedHyperlink" w:uiPriority="99"/>
    <w:lsdException w:name="Strong" w:uiPriority="99" w:qFormat="1"/>
    <w:lsdException w:name="Emphasis" w:uiPriority="99"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AAF"/>
    <w:pPr>
      <w:spacing w:before="60" w:after="120" w:line="276" w:lineRule="auto"/>
      <w:jc w:val="both"/>
    </w:pPr>
    <w:rPr>
      <w:rFonts w:ascii="Arial" w:hAnsi="Arial"/>
      <w:szCs w:val="24"/>
      <w:lang w:val="sk-SK"/>
    </w:rPr>
  </w:style>
  <w:style w:type="paragraph" w:styleId="Heading1">
    <w:name w:val="heading 1"/>
    <w:basedOn w:val="Normal"/>
    <w:next w:val="Normal"/>
    <w:link w:val="Heading1Char"/>
    <w:uiPriority w:val="99"/>
    <w:qFormat/>
    <w:rsid w:val="00E3086F"/>
    <w:pPr>
      <w:keepNext/>
      <w:numPr>
        <w:numId w:val="2"/>
      </w:numPr>
      <w:outlineLvl w:val="0"/>
    </w:pPr>
    <w:rPr>
      <w:caps/>
      <w:sz w:val="32"/>
      <w:szCs w:val="40"/>
    </w:rPr>
  </w:style>
  <w:style w:type="paragraph" w:styleId="Heading2">
    <w:name w:val="heading 2"/>
    <w:basedOn w:val="Normal"/>
    <w:next w:val="Normal"/>
    <w:link w:val="Heading2Char"/>
    <w:uiPriority w:val="99"/>
    <w:qFormat/>
    <w:rsid w:val="004C5AD2"/>
    <w:pPr>
      <w:keepNext/>
      <w:numPr>
        <w:ilvl w:val="1"/>
        <w:numId w:val="2"/>
      </w:numPr>
      <w:spacing w:before="120" w:line="360" w:lineRule="auto"/>
      <w:outlineLvl w:val="1"/>
    </w:pPr>
    <w:rPr>
      <w:bCs/>
      <w:caps/>
      <w:sz w:val="24"/>
      <w:szCs w:val="30"/>
    </w:rPr>
  </w:style>
  <w:style w:type="paragraph" w:styleId="Heading3">
    <w:name w:val="heading 3"/>
    <w:basedOn w:val="Normal"/>
    <w:next w:val="Normal"/>
    <w:link w:val="Heading3Char"/>
    <w:uiPriority w:val="99"/>
    <w:qFormat/>
    <w:rsid w:val="004351FD"/>
    <w:pPr>
      <w:keepNext/>
      <w:numPr>
        <w:ilvl w:val="2"/>
        <w:numId w:val="2"/>
      </w:numPr>
      <w:spacing w:before="240"/>
      <w:outlineLvl w:val="2"/>
    </w:pPr>
    <w:rPr>
      <w:rFonts w:eastAsia="Arial Unicode MS"/>
      <w:caps/>
      <w:szCs w:val="40"/>
    </w:rPr>
  </w:style>
  <w:style w:type="paragraph" w:styleId="Heading4">
    <w:name w:val="heading 4"/>
    <w:basedOn w:val="Normal"/>
    <w:next w:val="Normal"/>
    <w:link w:val="Heading4Char"/>
    <w:uiPriority w:val="99"/>
    <w:qFormat/>
    <w:rsid w:val="006C2BC4"/>
    <w:pPr>
      <w:keepNext/>
      <w:numPr>
        <w:ilvl w:val="3"/>
        <w:numId w:val="2"/>
      </w:numPr>
      <w:spacing w:before="120"/>
      <w:outlineLvl w:val="3"/>
    </w:pPr>
    <w:rPr>
      <w:bCs/>
      <w:i/>
    </w:rPr>
  </w:style>
  <w:style w:type="paragraph" w:styleId="Heading5">
    <w:name w:val="heading 5"/>
    <w:aliases w:val="Appendix Letteres Heading"/>
    <w:basedOn w:val="Normal"/>
    <w:next w:val="Normal"/>
    <w:link w:val="Heading5Char"/>
    <w:uiPriority w:val="99"/>
    <w:qFormat/>
    <w:pPr>
      <w:keepNext/>
      <w:numPr>
        <w:ilvl w:val="4"/>
        <w:numId w:val="2"/>
      </w:numPr>
      <w:jc w:val="center"/>
      <w:outlineLvl w:val="4"/>
    </w:pPr>
    <w:rPr>
      <w:b/>
      <w:bCs/>
      <w:sz w:val="28"/>
      <w:szCs w:val="28"/>
    </w:rPr>
  </w:style>
  <w:style w:type="paragraph" w:styleId="Heading6">
    <w:name w:val="heading 6"/>
    <w:basedOn w:val="Normal"/>
    <w:next w:val="Normal"/>
    <w:link w:val="Heading6Char"/>
    <w:uiPriority w:val="99"/>
    <w:qFormat/>
    <w:pPr>
      <w:keepNext/>
      <w:numPr>
        <w:ilvl w:val="5"/>
        <w:numId w:val="2"/>
      </w:numPr>
      <w:outlineLvl w:val="5"/>
    </w:pPr>
    <w:rPr>
      <w:b/>
      <w:bCs/>
    </w:rPr>
  </w:style>
  <w:style w:type="paragraph" w:styleId="Heading7">
    <w:name w:val="heading 7"/>
    <w:basedOn w:val="Normal"/>
    <w:next w:val="Normal"/>
    <w:link w:val="Heading7Char"/>
    <w:uiPriority w:val="99"/>
    <w:qFormat/>
    <w:pPr>
      <w:keepNext/>
      <w:numPr>
        <w:ilvl w:val="6"/>
        <w:numId w:val="2"/>
      </w:numPr>
      <w:spacing w:line="360" w:lineRule="auto"/>
      <w:outlineLvl w:val="6"/>
    </w:pPr>
    <w:rPr>
      <w:b/>
      <w:bCs/>
      <w:u w:val="single"/>
    </w:rPr>
  </w:style>
  <w:style w:type="paragraph" w:styleId="Heading8">
    <w:name w:val="heading 8"/>
    <w:basedOn w:val="Normal"/>
    <w:next w:val="Normal"/>
    <w:link w:val="Heading8Char"/>
    <w:uiPriority w:val="99"/>
    <w:qFormat/>
    <w:pPr>
      <w:keepNext/>
      <w:numPr>
        <w:ilvl w:val="7"/>
        <w:numId w:val="2"/>
      </w:numPr>
      <w:outlineLvl w:val="7"/>
    </w:pPr>
    <w:rPr>
      <w:u w:val="single"/>
    </w:rPr>
  </w:style>
  <w:style w:type="paragraph" w:styleId="Heading9">
    <w:name w:val="heading 9"/>
    <w:basedOn w:val="Normal"/>
    <w:next w:val="Normal"/>
    <w:link w:val="Heading9Char"/>
    <w:uiPriority w:val="99"/>
    <w:qFormat/>
    <w:pPr>
      <w:keepNext/>
      <w:numPr>
        <w:ilvl w:val="8"/>
        <w:numId w:val="2"/>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360"/>
    </w:pPr>
  </w:style>
  <w:style w:type="paragraph" w:styleId="Header">
    <w:name w:val="header"/>
    <w:basedOn w:val="Normal"/>
    <w:link w:val="HeaderChar"/>
    <w:uiPriority w:val="99"/>
    <w:qFormat/>
    <w:pPr>
      <w:tabs>
        <w:tab w:val="center" w:pos="4536"/>
        <w:tab w:val="right" w:pos="9072"/>
      </w:tabs>
    </w:pPr>
  </w:style>
  <w:style w:type="paragraph" w:styleId="Footer">
    <w:name w:val="footer"/>
    <w:basedOn w:val="Normal"/>
    <w:link w:val="FooterChar"/>
    <w:uiPriority w:val="99"/>
    <w:qFormat/>
    <w:pPr>
      <w:tabs>
        <w:tab w:val="center" w:pos="4536"/>
        <w:tab w:val="right" w:pos="9072"/>
      </w:tabs>
    </w:pPr>
  </w:style>
  <w:style w:type="character" w:styleId="PageNumber">
    <w:name w:val="page number"/>
    <w:basedOn w:val="DefaultParagraphFont"/>
    <w:uiPriority w:val="99"/>
    <w:qFormat/>
  </w:style>
  <w:style w:type="paragraph" w:styleId="BodyText3">
    <w:name w:val="Body Text 3"/>
    <w:basedOn w:val="Normal"/>
    <w:link w:val="BodyText3Char"/>
    <w:pPr>
      <w:jc w:val="center"/>
    </w:pPr>
    <w:rPr>
      <w:color w:val="FF0000"/>
      <w:szCs w:val="20"/>
    </w:rPr>
  </w:style>
  <w:style w:type="paragraph" w:styleId="BodyTextIndent">
    <w:name w:val="Body Text Indent"/>
    <w:basedOn w:val="Normal"/>
    <w:link w:val="BodyTextIndentChar"/>
    <w:uiPriority w:val="99"/>
    <w:rPr>
      <w:rFonts w:cs="Arial"/>
      <w:szCs w:val="20"/>
    </w:rPr>
  </w:style>
  <w:style w:type="paragraph" w:styleId="BodyTextIndent3">
    <w:name w:val="Body Text Indent 3"/>
    <w:basedOn w:val="Normal"/>
    <w:link w:val="BodyTextIndent3Char"/>
    <w:pPr>
      <w:ind w:left="4860"/>
    </w:pPr>
    <w:rPr>
      <w:sz w:val="30"/>
      <w:szCs w:val="30"/>
    </w:rPr>
  </w:style>
  <w:style w:type="paragraph" w:styleId="BodyText">
    <w:name w:val="Body Text"/>
    <w:basedOn w:val="Normal"/>
    <w:link w:val="BodyTextChar"/>
    <w:qFormat/>
  </w:style>
  <w:style w:type="character" w:styleId="HTMLTypewriter">
    <w:name w:val="HTML Typewriter"/>
    <w:uiPriority w:val="99"/>
    <w:rPr>
      <w:rFonts w:ascii="Courier New" w:eastAsia="Times New Roman" w:hAnsi="Courier New"/>
      <w:sz w:val="20"/>
      <w:szCs w:val="20"/>
    </w:rPr>
  </w:style>
  <w:style w:type="paragraph" w:styleId="BodyText2">
    <w:name w:val="Body Text 2"/>
    <w:basedOn w:val="Normal"/>
    <w:link w:val="BodyText2Char"/>
    <w:pPr>
      <w:spacing w:before="20"/>
    </w:pPr>
    <w:rPr>
      <w:rFonts w:cs="Arial"/>
      <w:sz w:val="14"/>
      <w:szCs w:val="14"/>
    </w:rPr>
  </w:style>
  <w:style w:type="paragraph" w:customStyle="1" w:styleId="JASPInormlny">
    <w:name w:val="JASPI normálny"/>
    <w:basedOn w:val="Normal"/>
    <w:rPr>
      <w:rFonts w:ascii="Times New Roman" w:hAnsi="Times New Roman"/>
      <w:sz w:val="24"/>
    </w:rPr>
  </w:style>
  <w:style w:type="paragraph" w:styleId="FootnoteText">
    <w:name w:val="footnote text"/>
    <w:basedOn w:val="Normal"/>
    <w:link w:val="FootnoteTextChar"/>
    <w:uiPriority w:val="99"/>
    <w:rsid w:val="00504F55"/>
    <w:rPr>
      <w:rFonts w:cs="Arial"/>
      <w:sz w:val="18"/>
      <w:szCs w:val="20"/>
    </w:rPr>
  </w:style>
  <w:style w:type="character" w:customStyle="1" w:styleId="FootnoteTextChar">
    <w:name w:val="Footnote Text Char"/>
    <w:basedOn w:val="DefaultParagraphFont"/>
    <w:link w:val="FootnoteText"/>
    <w:uiPriority w:val="99"/>
    <w:rsid w:val="000E030A"/>
    <w:rPr>
      <w:rFonts w:ascii="Arial" w:hAnsi="Arial" w:cs="Arial"/>
      <w:sz w:val="18"/>
      <w:lang w:val="sk-SK"/>
    </w:rPr>
  </w:style>
  <w:style w:type="character" w:styleId="FootnoteReference">
    <w:name w:val="footnote reference"/>
    <w:uiPriority w:val="99"/>
    <w:semiHidden/>
    <w:rPr>
      <w:vertAlign w:val="superscript"/>
    </w:rPr>
  </w:style>
  <w:style w:type="character" w:styleId="Hyperlink">
    <w:name w:val="Hyperlink"/>
    <w:uiPriority w:val="99"/>
    <w:qFormat/>
    <w:rPr>
      <w:color w:val="0000FF"/>
      <w:u w:val="single"/>
    </w:rPr>
  </w:style>
  <w:style w:type="character" w:styleId="FollowedHyperlink">
    <w:name w:val="FollowedHyperlink"/>
    <w:uiPriority w:val="99"/>
    <w:rPr>
      <w:color w:val="800080"/>
      <w:u w:val="single"/>
    </w:rPr>
  </w:style>
  <w:style w:type="paragraph" w:styleId="CommentText">
    <w:name w:val="annotation text"/>
    <w:basedOn w:val="Normal"/>
    <w:link w:val="CommentTextChar"/>
    <w:uiPriority w:val="99"/>
    <w:semiHidden/>
    <w:rsid w:val="00F23EFF"/>
    <w:pPr>
      <w:widowControl w:val="0"/>
    </w:pPr>
    <w:rPr>
      <w:rFonts w:ascii="Tahoma" w:hAnsi="Tahoma"/>
      <w:szCs w:val="20"/>
      <w:lang w:eastAsia="en-GB"/>
    </w:rPr>
  </w:style>
  <w:style w:type="character" w:customStyle="1" w:styleId="CommentTextChar">
    <w:name w:val="Comment Text Char"/>
    <w:link w:val="CommentText"/>
    <w:uiPriority w:val="99"/>
    <w:semiHidden/>
    <w:rsid w:val="00F23EFF"/>
    <w:rPr>
      <w:rFonts w:ascii="Tahoma" w:hAnsi="Tahoma"/>
      <w:lang w:val="sk-SK" w:eastAsia="en-G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sk-SK" w:eastAsia="sk-SK"/>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widowControl/>
    </w:pPr>
    <w:rPr>
      <w:rFonts w:ascii="Arial" w:hAnsi="Arial"/>
      <w:b/>
      <w:bCs/>
      <w:noProof/>
      <w:lang w:eastAsia="sk-SK"/>
    </w:rPr>
  </w:style>
  <w:style w:type="character" w:customStyle="1" w:styleId="CommentSubjectChar">
    <w:name w:val="Comment Subject Char"/>
    <w:basedOn w:val="CommentTextChar"/>
    <w:link w:val="CommentSubject"/>
    <w:uiPriority w:val="99"/>
    <w:rPr>
      <w:rFonts w:ascii="Tahoma" w:hAnsi="Tahoma"/>
      <w:lang w:val="sk-SK" w:eastAsia="en-GB"/>
    </w:rPr>
  </w:style>
  <w:style w:type="paragraph" w:customStyle="1" w:styleId="Revzia1">
    <w:name w:val="Revízia1"/>
    <w:hidden/>
    <w:uiPriority w:val="99"/>
    <w:semiHidden/>
    <w:rPr>
      <w:rFonts w:ascii="Arial" w:hAnsi="Arial"/>
      <w:noProof/>
      <w:szCs w:val="24"/>
      <w:lang w:val="sk-SK" w:eastAsia="sk-SK"/>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1">
    <w:name w:val="odrážka 1"/>
    <w:basedOn w:val="Normal"/>
    <w:pPr>
      <w:numPr>
        <w:numId w:val="1"/>
      </w:numPr>
      <w:spacing w:line="360" w:lineRule="auto"/>
    </w:pPr>
    <w:rPr>
      <w:sz w:val="24"/>
    </w:rPr>
  </w:style>
  <w:style w:type="paragraph" w:customStyle="1" w:styleId="StyleBodyTextIndent2ArialBoldBoldSmallcaps">
    <w:name w:val="Style Body Text Indent 2 + Arial Bold Bold Small caps"/>
    <w:basedOn w:val="BodyTextIndent2"/>
    <w:rPr>
      <w:rFonts w:ascii="Arial Bold" w:hAnsi="Arial Bold"/>
      <w:b/>
      <w:bCs/>
      <w:smallCaps/>
    </w:rPr>
  </w:style>
  <w:style w:type="paragraph" w:customStyle="1" w:styleId="BTIBlue">
    <w:name w:val="BTI Blue"/>
    <w:basedOn w:val="BodyTextIndent2"/>
    <w:pPr>
      <w:tabs>
        <w:tab w:val="left" w:pos="567"/>
        <w:tab w:val="num" w:pos="1994"/>
      </w:tabs>
      <w:spacing w:before="30" w:after="30"/>
      <w:ind w:left="1994" w:hanging="576"/>
    </w:pPr>
    <w:rPr>
      <w:rFonts w:cs="Arial"/>
      <w:b/>
      <w:color w:val="3366FF"/>
      <w:szCs w:val="20"/>
    </w:rPr>
  </w:style>
  <w:style w:type="paragraph" w:customStyle="1" w:styleId="BTIBluelevel2">
    <w:name w:val="BTI Blue level 2"/>
    <w:basedOn w:val="BTIBlue"/>
    <w:pPr>
      <w:tabs>
        <w:tab w:val="clear" w:pos="567"/>
        <w:tab w:val="clear" w:pos="1994"/>
        <w:tab w:val="num" w:pos="2138"/>
      </w:tabs>
      <w:ind w:left="2138" w:hanging="720"/>
    </w:pPr>
    <w:rPr>
      <w:b w:val="0"/>
    </w:rPr>
  </w:style>
  <w:style w:type="paragraph" w:customStyle="1" w:styleId="StyleNumberedLeft0cmHanging063cm">
    <w:name w:val="Style Numbered Left:  0 cm Hanging:  063 cm"/>
    <w:basedOn w:val="Normal"/>
    <w:pPr>
      <w:tabs>
        <w:tab w:val="num" w:pos="1778"/>
      </w:tabs>
      <w:spacing w:after="60"/>
      <w:ind w:left="1778" w:hanging="360"/>
    </w:pPr>
  </w:style>
  <w:style w:type="paragraph" w:customStyle="1" w:styleId="StyleBTIBluelevel29ptAutoLeft0cmFirstline0cm">
    <w:name w:val="Style BTI Blue level 2 + 9 pt Auto Left:  0 cm First line:  0 cm"/>
    <w:basedOn w:val="BTIBluelevel2"/>
    <w:pPr>
      <w:spacing w:before="40" w:after="40"/>
      <w:ind w:left="0" w:firstLine="0"/>
    </w:pPr>
    <w:rPr>
      <w:rFonts w:cs="Times New Roman"/>
      <w:color w:val="auto"/>
      <w:sz w:val="18"/>
    </w:rPr>
  </w:style>
  <w:style w:type="paragraph" w:customStyle="1" w:styleId="Style9ptJustified">
    <w:name w:val="Style 9 pt Justified"/>
    <w:basedOn w:val="Normal"/>
    <w:pPr>
      <w:spacing w:before="30" w:after="30"/>
    </w:pPr>
    <w:rPr>
      <w:sz w:val="18"/>
      <w:szCs w:val="20"/>
    </w:rPr>
  </w:style>
  <w:style w:type="paragraph" w:customStyle="1" w:styleId="Normal4">
    <w:name w:val="Normal 4"/>
    <w:basedOn w:val="Normal"/>
    <w:pPr>
      <w:widowControl w:val="0"/>
      <w:tabs>
        <w:tab w:val="left" w:pos="709"/>
      </w:tabs>
      <w:autoSpaceDE w:val="0"/>
      <w:autoSpaceDN w:val="0"/>
      <w:adjustRightInd w:val="0"/>
      <w:spacing w:line="360" w:lineRule="atLeast"/>
      <w:ind w:left="2977"/>
      <w:textAlignment w:val="baseline"/>
    </w:pPr>
    <w:rPr>
      <w:rFonts w:ascii="Times New Roman" w:hAnsi="Times New Roman"/>
      <w:sz w:val="22"/>
      <w:szCs w:val="22"/>
      <w:lang w:val="cs-CZ" w:eastAsia="en-US"/>
    </w:rPr>
  </w:style>
  <w:style w:type="paragraph" w:styleId="ListParagraph">
    <w:name w:val="List Paragraph"/>
    <w:aliases w:val="List Paragraph Head"/>
    <w:basedOn w:val="Normal"/>
    <w:link w:val="ListParagraphChar"/>
    <w:uiPriority w:val="34"/>
    <w:qFormat/>
    <w:rsid w:val="003F267D"/>
    <w:pPr>
      <w:numPr>
        <w:ilvl w:val="1"/>
        <w:numId w:val="3"/>
      </w:numPr>
    </w:pPr>
    <w:rPr>
      <w:rFonts w:cs="Arial"/>
      <w:szCs w:val="20"/>
      <w:lang w:eastAsia="en-US" w:bidi="en-US"/>
    </w:rPr>
  </w:style>
  <w:style w:type="paragraph" w:styleId="Revision">
    <w:name w:val="Revision"/>
    <w:hidden/>
    <w:uiPriority w:val="99"/>
    <w:semiHidden/>
    <w:rsid w:val="00CB5928"/>
    <w:rPr>
      <w:rFonts w:ascii="Arial" w:hAnsi="Arial"/>
      <w:szCs w:val="24"/>
      <w:lang w:val="sk-SK" w:eastAsia="sk-SK"/>
    </w:rPr>
  </w:style>
  <w:style w:type="paragraph" w:customStyle="1" w:styleId="L-Numbered">
    <w:name w:val="L-Numbered"/>
    <w:basedOn w:val="Normal"/>
    <w:qFormat/>
    <w:rsid w:val="008C3902"/>
    <w:pPr>
      <w:numPr>
        <w:numId w:val="4"/>
      </w:numPr>
      <w:ind w:left="737" w:hanging="737"/>
    </w:pPr>
  </w:style>
  <w:style w:type="paragraph" w:styleId="TOCHeading">
    <w:name w:val="TOC Heading"/>
    <w:basedOn w:val="Heading1"/>
    <w:next w:val="Normal"/>
    <w:unhideWhenUsed/>
    <w:qFormat/>
    <w:rsid w:val="00EC0530"/>
    <w:pPr>
      <w:keepLines/>
      <w:numPr>
        <w:numId w:val="0"/>
      </w:numPr>
      <w:spacing w:before="240" w:after="0" w:line="259" w:lineRule="auto"/>
      <w:jc w:val="left"/>
      <w:outlineLvl w:val="9"/>
    </w:pPr>
    <w:rPr>
      <w:rFonts w:asciiTheme="majorHAnsi" w:eastAsiaTheme="majorEastAsia" w:hAnsiTheme="majorHAnsi" w:cstheme="majorBidi"/>
      <w:caps w:val="0"/>
      <w:color w:val="2E74B5" w:themeColor="accent1" w:themeShade="BF"/>
      <w:szCs w:val="32"/>
      <w:lang w:val="cs-CZ"/>
    </w:rPr>
  </w:style>
  <w:style w:type="paragraph" w:styleId="TOC1">
    <w:name w:val="toc 1"/>
    <w:basedOn w:val="Normal"/>
    <w:next w:val="Normal"/>
    <w:autoRedefine/>
    <w:uiPriority w:val="39"/>
    <w:qFormat/>
    <w:rsid w:val="00EC0530"/>
    <w:pPr>
      <w:spacing w:after="100"/>
    </w:pPr>
  </w:style>
  <w:style w:type="paragraph" w:styleId="TOC2">
    <w:name w:val="toc 2"/>
    <w:basedOn w:val="Normal"/>
    <w:next w:val="Normal"/>
    <w:autoRedefine/>
    <w:uiPriority w:val="39"/>
    <w:qFormat/>
    <w:rsid w:val="00EC0530"/>
    <w:pPr>
      <w:spacing w:after="100"/>
      <w:ind w:left="200"/>
    </w:pPr>
  </w:style>
  <w:style w:type="paragraph" w:styleId="TOC3">
    <w:name w:val="toc 3"/>
    <w:basedOn w:val="Normal"/>
    <w:next w:val="Normal"/>
    <w:autoRedefine/>
    <w:uiPriority w:val="39"/>
    <w:qFormat/>
    <w:rsid w:val="00EC0530"/>
    <w:pPr>
      <w:spacing w:after="100"/>
      <w:ind w:left="400"/>
    </w:pPr>
  </w:style>
  <w:style w:type="paragraph" w:styleId="TOC4">
    <w:name w:val="toc 4"/>
    <w:basedOn w:val="Normal"/>
    <w:next w:val="Normal"/>
    <w:autoRedefine/>
    <w:uiPriority w:val="39"/>
    <w:unhideWhenUsed/>
    <w:qFormat/>
    <w:rsid w:val="00EC0530"/>
    <w:pPr>
      <w:spacing w:before="0" w:after="100" w:line="259" w:lineRule="auto"/>
      <w:ind w:left="660"/>
      <w:jc w:val="left"/>
    </w:pPr>
    <w:rPr>
      <w:rFonts w:asciiTheme="minorHAnsi" w:eastAsiaTheme="minorEastAsia" w:hAnsiTheme="minorHAnsi" w:cstheme="minorBidi"/>
      <w:sz w:val="22"/>
      <w:szCs w:val="22"/>
      <w:lang w:val="cs-CZ"/>
    </w:rPr>
  </w:style>
  <w:style w:type="paragraph" w:styleId="TOC5">
    <w:name w:val="toc 5"/>
    <w:basedOn w:val="Normal"/>
    <w:next w:val="Normal"/>
    <w:autoRedefine/>
    <w:uiPriority w:val="39"/>
    <w:unhideWhenUsed/>
    <w:qFormat/>
    <w:rsid w:val="00EC0530"/>
    <w:pPr>
      <w:spacing w:before="0" w:after="100" w:line="259" w:lineRule="auto"/>
      <w:ind w:left="880"/>
      <w:jc w:val="left"/>
    </w:pPr>
    <w:rPr>
      <w:rFonts w:asciiTheme="minorHAnsi" w:eastAsiaTheme="minorEastAsia" w:hAnsiTheme="minorHAnsi" w:cstheme="minorBidi"/>
      <w:sz w:val="22"/>
      <w:szCs w:val="22"/>
      <w:lang w:val="cs-CZ"/>
    </w:rPr>
  </w:style>
  <w:style w:type="paragraph" w:styleId="TOC6">
    <w:name w:val="toc 6"/>
    <w:basedOn w:val="Normal"/>
    <w:next w:val="Normal"/>
    <w:autoRedefine/>
    <w:uiPriority w:val="39"/>
    <w:unhideWhenUsed/>
    <w:qFormat/>
    <w:rsid w:val="00EC0530"/>
    <w:pPr>
      <w:spacing w:before="0" w:after="100" w:line="259" w:lineRule="auto"/>
      <w:ind w:left="1100"/>
      <w:jc w:val="left"/>
    </w:pPr>
    <w:rPr>
      <w:rFonts w:asciiTheme="minorHAnsi" w:eastAsiaTheme="minorEastAsia" w:hAnsiTheme="minorHAnsi" w:cstheme="minorBidi"/>
      <w:sz w:val="22"/>
      <w:szCs w:val="22"/>
      <w:lang w:val="cs-CZ"/>
    </w:rPr>
  </w:style>
  <w:style w:type="paragraph" w:styleId="TOC7">
    <w:name w:val="toc 7"/>
    <w:basedOn w:val="Normal"/>
    <w:next w:val="Normal"/>
    <w:autoRedefine/>
    <w:uiPriority w:val="39"/>
    <w:unhideWhenUsed/>
    <w:qFormat/>
    <w:rsid w:val="00EC0530"/>
    <w:pPr>
      <w:spacing w:before="0" w:after="100" w:line="259" w:lineRule="auto"/>
      <w:ind w:left="1320"/>
      <w:jc w:val="left"/>
    </w:pPr>
    <w:rPr>
      <w:rFonts w:asciiTheme="minorHAnsi" w:eastAsiaTheme="minorEastAsia" w:hAnsiTheme="minorHAnsi" w:cstheme="minorBidi"/>
      <w:sz w:val="22"/>
      <w:szCs w:val="22"/>
      <w:lang w:val="cs-CZ"/>
    </w:rPr>
  </w:style>
  <w:style w:type="paragraph" w:styleId="TOC8">
    <w:name w:val="toc 8"/>
    <w:basedOn w:val="Normal"/>
    <w:next w:val="Normal"/>
    <w:autoRedefine/>
    <w:uiPriority w:val="39"/>
    <w:unhideWhenUsed/>
    <w:rsid w:val="00EC0530"/>
    <w:pPr>
      <w:spacing w:before="0" w:after="100" w:line="259" w:lineRule="auto"/>
      <w:ind w:left="1540"/>
      <w:jc w:val="left"/>
    </w:pPr>
    <w:rPr>
      <w:rFonts w:asciiTheme="minorHAnsi" w:eastAsiaTheme="minorEastAsia" w:hAnsiTheme="minorHAnsi" w:cstheme="minorBidi"/>
      <w:sz w:val="22"/>
      <w:szCs w:val="22"/>
      <w:lang w:val="cs-CZ"/>
    </w:rPr>
  </w:style>
  <w:style w:type="paragraph" w:styleId="TOC9">
    <w:name w:val="toc 9"/>
    <w:basedOn w:val="Normal"/>
    <w:next w:val="Normal"/>
    <w:autoRedefine/>
    <w:uiPriority w:val="39"/>
    <w:unhideWhenUsed/>
    <w:rsid w:val="00EC0530"/>
    <w:pPr>
      <w:spacing w:before="0" w:after="100" w:line="259" w:lineRule="auto"/>
      <w:ind w:left="1760"/>
      <w:jc w:val="left"/>
    </w:pPr>
    <w:rPr>
      <w:rFonts w:asciiTheme="minorHAnsi" w:eastAsiaTheme="minorEastAsia" w:hAnsiTheme="minorHAnsi" w:cstheme="minorBidi"/>
      <w:sz w:val="22"/>
      <w:szCs w:val="22"/>
      <w:lang w:val="cs-CZ"/>
    </w:rPr>
  </w:style>
  <w:style w:type="paragraph" w:customStyle="1" w:styleId="Revzia2">
    <w:name w:val="Revízia2"/>
    <w:hidden/>
    <w:uiPriority w:val="99"/>
    <w:semiHidden/>
    <w:rsid w:val="000E030A"/>
    <w:rPr>
      <w:rFonts w:ascii="Arial" w:hAnsi="Arial"/>
      <w:noProof/>
      <w:szCs w:val="24"/>
      <w:lang w:val="sk-SK" w:eastAsia="sk-SK"/>
    </w:rPr>
  </w:style>
  <w:style w:type="paragraph" w:styleId="Title">
    <w:name w:val="Title"/>
    <w:basedOn w:val="Normal"/>
    <w:next w:val="Normal"/>
    <w:link w:val="TitleChar"/>
    <w:uiPriority w:val="16"/>
    <w:qFormat/>
    <w:rsid w:val="00FA1F4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6"/>
    <w:rsid w:val="00FA1F43"/>
    <w:rPr>
      <w:rFonts w:asciiTheme="majorHAnsi" w:eastAsiaTheme="majorEastAsia" w:hAnsiTheme="majorHAnsi" w:cstheme="majorBidi"/>
      <w:spacing w:val="-10"/>
      <w:kern w:val="28"/>
      <w:sz w:val="56"/>
      <w:szCs w:val="56"/>
      <w:lang w:val="sk-SK" w:eastAsia="sk-SK"/>
    </w:rPr>
  </w:style>
  <w:style w:type="paragraph" w:styleId="Caption">
    <w:name w:val="caption"/>
    <w:basedOn w:val="Normal"/>
    <w:next w:val="Normal"/>
    <w:uiPriority w:val="99"/>
    <w:unhideWhenUsed/>
    <w:qFormat/>
    <w:rsid w:val="00FA6605"/>
    <w:pPr>
      <w:keepNext/>
      <w:spacing w:before="0" w:after="0" w:line="240" w:lineRule="auto"/>
    </w:pPr>
    <w:rPr>
      <w:i/>
      <w:iCs/>
      <w:color w:val="44546A" w:themeColor="text2"/>
      <w:sz w:val="18"/>
      <w:szCs w:val="18"/>
    </w:rPr>
  </w:style>
  <w:style w:type="paragraph" w:customStyle="1" w:styleId="Texttabulky8pt">
    <w:name w:val="Text_tabulky_8pt"/>
    <w:qFormat/>
    <w:rsid w:val="00BF6542"/>
    <w:pPr>
      <w:spacing w:before="30" w:after="30"/>
    </w:pPr>
    <w:rPr>
      <w:rFonts w:ascii="Arial Narrow" w:hAnsi="Arial Narrow" w:cs="Arial"/>
      <w:sz w:val="16"/>
      <w:szCs w:val="16"/>
      <w:lang w:val="sk-SK"/>
    </w:rPr>
  </w:style>
  <w:style w:type="table" w:customStyle="1" w:styleId="TableNormal1">
    <w:name w:val="Table Normal1"/>
    <w:rsid w:val="00880BA4"/>
    <w:pPr>
      <w:pBdr>
        <w:top w:val="nil"/>
        <w:left w:val="nil"/>
        <w:bottom w:val="nil"/>
        <w:right w:val="nil"/>
        <w:between w:val="nil"/>
        <w:bar w:val="nil"/>
      </w:pBdr>
    </w:pPr>
    <w:rPr>
      <w:rFonts w:eastAsia="Arial Unicode MS"/>
      <w:bdr w:val="nil"/>
      <w:lang w:val="sk-SK" w:eastAsia="sk-SK"/>
    </w:rPr>
    <w:tblPr>
      <w:tblInd w:w="0" w:type="dxa"/>
      <w:tblCellMar>
        <w:top w:w="0" w:type="dxa"/>
        <w:left w:w="0" w:type="dxa"/>
        <w:bottom w:w="0" w:type="dxa"/>
        <w:right w:w="0" w:type="dxa"/>
      </w:tblCellMar>
    </w:tblPr>
  </w:style>
  <w:style w:type="paragraph" w:customStyle="1" w:styleId="tltabuky1">
    <w:name w:val="Štýl tabuľky 1"/>
    <w:rsid w:val="00880BA4"/>
    <w:pPr>
      <w:pBdr>
        <w:top w:val="nil"/>
        <w:left w:val="nil"/>
        <w:bottom w:val="nil"/>
        <w:right w:val="nil"/>
        <w:between w:val="nil"/>
        <w:bar w:val="nil"/>
      </w:pBdr>
    </w:pPr>
    <w:rPr>
      <w:rFonts w:ascii="Arial" w:eastAsia="Arial" w:hAnsi="Arial" w:cs="Arial"/>
      <w:b/>
      <w:bCs/>
      <w:color w:val="FFFFFF"/>
      <w:sz w:val="18"/>
      <w:szCs w:val="18"/>
      <w:bdr w:val="nil"/>
      <w:lang w:val="sk-SK" w:eastAsia="sk-SK"/>
      <w14:textOutline w14:w="0" w14:cap="flat" w14:cmpd="sng" w14:algn="ctr">
        <w14:noFill/>
        <w14:prstDash w14:val="solid"/>
        <w14:bevel/>
      </w14:textOutline>
    </w:rPr>
  </w:style>
  <w:style w:type="paragraph" w:customStyle="1" w:styleId="tltabuky2">
    <w:name w:val="Štýl tabuľky 2"/>
    <w:rsid w:val="00880BA4"/>
    <w:pPr>
      <w:pBdr>
        <w:top w:val="nil"/>
        <w:left w:val="nil"/>
        <w:bottom w:val="nil"/>
        <w:right w:val="nil"/>
        <w:between w:val="nil"/>
        <w:bar w:val="nil"/>
      </w:pBdr>
    </w:pPr>
    <w:rPr>
      <w:rFonts w:ascii="Arial" w:eastAsia="Arial" w:hAnsi="Arial" w:cs="Arial"/>
      <w:color w:val="000000"/>
      <w:sz w:val="18"/>
      <w:szCs w:val="18"/>
      <w:bdr w:val="nil"/>
      <w:lang w:val="sk-SK" w:eastAsia="sk-SK"/>
      <w14:textOutline w14:w="0" w14:cap="flat" w14:cmpd="sng" w14:algn="ctr">
        <w14:noFill/>
        <w14:prstDash w14:val="solid"/>
        <w14:bevel/>
      </w14:textOutline>
    </w:rPr>
  </w:style>
  <w:style w:type="paragraph" w:customStyle="1" w:styleId="Telo">
    <w:name w:val="Telo"/>
    <w:rsid w:val="00880BA4"/>
    <w:pPr>
      <w:pBdr>
        <w:top w:val="nil"/>
        <w:left w:val="nil"/>
        <w:bottom w:val="nil"/>
        <w:right w:val="nil"/>
        <w:between w:val="nil"/>
        <w:bar w:val="nil"/>
      </w:pBdr>
      <w:spacing w:before="40" w:after="80" w:line="288" w:lineRule="auto"/>
      <w:jc w:val="both"/>
    </w:pPr>
    <w:rPr>
      <w:rFonts w:ascii="Arial" w:eastAsia="Arial Unicode MS" w:hAnsi="Arial" w:cs="Arial Unicode MS"/>
      <w:color w:val="000000"/>
      <w:bdr w:val="nil"/>
      <w:lang w:val="sk-SK" w:eastAsia="sk-SK"/>
      <w14:textOutline w14:w="0" w14:cap="flat" w14:cmpd="sng" w14:algn="ctr">
        <w14:noFill/>
        <w14:prstDash w14:val="solid"/>
        <w14:bevel/>
      </w14:textOutline>
    </w:rPr>
  </w:style>
  <w:style w:type="paragraph" w:customStyle="1" w:styleId="odrky">
    <w:name w:val="odrážky"/>
    <w:rsid w:val="00880BA4"/>
    <w:pPr>
      <w:pBdr>
        <w:top w:val="nil"/>
        <w:left w:val="nil"/>
        <w:bottom w:val="nil"/>
        <w:right w:val="nil"/>
        <w:between w:val="nil"/>
        <w:bar w:val="nil"/>
      </w:pBdr>
      <w:spacing w:before="20" w:after="20" w:line="288" w:lineRule="auto"/>
      <w:jc w:val="both"/>
    </w:pPr>
    <w:rPr>
      <w:rFonts w:ascii="Arial" w:eastAsia="Arial Unicode MS" w:hAnsi="Arial" w:cs="Arial Unicode MS"/>
      <w:color w:val="000000"/>
      <w:sz w:val="18"/>
      <w:szCs w:val="18"/>
      <w:bdr w:val="nil"/>
      <w:lang w:val="sk-SK" w:eastAsia="sk-SK"/>
      <w14:textOutline w14:w="0" w14:cap="flat" w14:cmpd="sng" w14:algn="ctr">
        <w14:noFill/>
        <w14:prstDash w14:val="solid"/>
        <w14:bevel/>
      </w14:textOutline>
    </w:rPr>
  </w:style>
  <w:style w:type="numbering" w:customStyle="1" w:styleId="Odrka">
    <w:name w:val="Odrážka"/>
    <w:rsid w:val="00880BA4"/>
    <w:pPr>
      <w:numPr>
        <w:numId w:val="5"/>
      </w:numPr>
    </w:pPr>
  </w:style>
  <w:style w:type="paragraph" w:customStyle="1" w:styleId="Vysvetlivka">
    <w:name w:val="Vysvetlivka"/>
    <w:rsid w:val="00880BA4"/>
    <w:pPr>
      <w:pBdr>
        <w:top w:val="nil"/>
        <w:left w:val="nil"/>
        <w:bottom w:val="nil"/>
        <w:right w:val="nil"/>
        <w:between w:val="nil"/>
        <w:bar w:val="nil"/>
      </w:pBdr>
    </w:pPr>
    <w:rPr>
      <w:rFonts w:ascii="Arial" w:eastAsia="Arial" w:hAnsi="Arial" w:cs="Arial"/>
      <w:color w:val="000000"/>
      <w:sz w:val="16"/>
      <w:szCs w:val="16"/>
      <w:bdr w:val="nil"/>
      <w:lang w:val="sk-SK" w:eastAsia="sk-SK"/>
      <w14:textOutline w14:w="0" w14:cap="flat" w14:cmpd="sng" w14:algn="ctr">
        <w14:noFill/>
        <w14:prstDash w14:val="solid"/>
        <w14:bevel/>
      </w14:textOutline>
    </w:rPr>
  </w:style>
  <w:style w:type="paragraph" w:customStyle="1" w:styleId="NADPIS4">
    <w:name w:val="NADPIS 4"/>
    <w:rsid w:val="00880BA4"/>
    <w:pPr>
      <w:pBdr>
        <w:top w:val="nil"/>
        <w:left w:val="nil"/>
        <w:bottom w:val="nil"/>
        <w:right w:val="nil"/>
        <w:between w:val="nil"/>
        <w:bar w:val="nil"/>
      </w:pBdr>
      <w:tabs>
        <w:tab w:val="left" w:pos="1440"/>
      </w:tabs>
      <w:spacing w:before="120" w:after="120" w:line="288" w:lineRule="auto"/>
      <w:ind w:left="1440" w:right="232" w:hanging="1440"/>
      <w:outlineLvl w:val="3"/>
    </w:pPr>
    <w:rPr>
      <w:rFonts w:ascii="Arial" w:eastAsia="Arial" w:hAnsi="Arial" w:cs="Arial"/>
      <w:smallCaps/>
      <w:color w:val="AB324E"/>
      <w:sz w:val="22"/>
      <w:szCs w:val="22"/>
      <w:bdr w:val="nil"/>
      <w:lang w:val="sk-SK" w:eastAsia="sk-SK"/>
      <w14:textOutline w14:w="0" w14:cap="flat" w14:cmpd="sng" w14:algn="ctr">
        <w14:noFill/>
        <w14:prstDash w14:val="solid"/>
        <w14:bevel/>
      </w14:textOutline>
    </w:rPr>
  </w:style>
  <w:style w:type="character" w:customStyle="1" w:styleId="Heading1Char">
    <w:name w:val="Heading 1 Char"/>
    <w:basedOn w:val="DefaultParagraphFont"/>
    <w:link w:val="Heading1"/>
    <w:uiPriority w:val="99"/>
    <w:rsid w:val="00E3086F"/>
    <w:rPr>
      <w:rFonts w:ascii="Arial" w:hAnsi="Arial"/>
      <w:caps/>
      <w:sz w:val="32"/>
      <w:szCs w:val="40"/>
      <w:lang w:val="sk-SK"/>
    </w:rPr>
  </w:style>
  <w:style w:type="character" w:customStyle="1" w:styleId="Heading2Char">
    <w:name w:val="Heading 2 Char"/>
    <w:basedOn w:val="DefaultParagraphFont"/>
    <w:link w:val="Heading2"/>
    <w:uiPriority w:val="99"/>
    <w:rsid w:val="00BA6BD3"/>
    <w:rPr>
      <w:rFonts w:ascii="Arial" w:hAnsi="Arial"/>
      <w:bCs/>
      <w:caps/>
      <w:sz w:val="24"/>
      <w:szCs w:val="30"/>
      <w:lang w:val="sk-SK"/>
    </w:rPr>
  </w:style>
  <w:style w:type="character" w:customStyle="1" w:styleId="Heading3Char">
    <w:name w:val="Heading 3 Char"/>
    <w:basedOn w:val="DefaultParagraphFont"/>
    <w:link w:val="Heading3"/>
    <w:uiPriority w:val="99"/>
    <w:rsid w:val="00BA6BD3"/>
    <w:rPr>
      <w:rFonts w:ascii="Arial" w:eastAsia="Arial Unicode MS" w:hAnsi="Arial"/>
      <w:caps/>
      <w:szCs w:val="40"/>
      <w:lang w:val="sk-SK"/>
    </w:rPr>
  </w:style>
  <w:style w:type="character" w:customStyle="1" w:styleId="Heading4Char">
    <w:name w:val="Heading 4 Char"/>
    <w:basedOn w:val="DefaultParagraphFont"/>
    <w:link w:val="Heading4"/>
    <w:uiPriority w:val="99"/>
    <w:rsid w:val="00BA6BD3"/>
    <w:rPr>
      <w:rFonts w:ascii="Arial" w:hAnsi="Arial"/>
      <w:bCs/>
      <w:i/>
      <w:szCs w:val="24"/>
      <w:lang w:val="sk-SK"/>
    </w:rPr>
  </w:style>
  <w:style w:type="character" w:customStyle="1" w:styleId="Heading5Char">
    <w:name w:val="Heading 5 Char"/>
    <w:aliases w:val="Appendix Letteres Heading Char"/>
    <w:basedOn w:val="DefaultParagraphFont"/>
    <w:link w:val="Heading5"/>
    <w:uiPriority w:val="99"/>
    <w:rsid w:val="00BA6BD3"/>
    <w:rPr>
      <w:rFonts w:ascii="Arial" w:hAnsi="Arial"/>
      <w:b/>
      <w:bCs/>
      <w:sz w:val="28"/>
      <w:szCs w:val="28"/>
      <w:lang w:val="sk-SK"/>
    </w:rPr>
  </w:style>
  <w:style w:type="character" w:customStyle="1" w:styleId="Heading6Char">
    <w:name w:val="Heading 6 Char"/>
    <w:basedOn w:val="DefaultParagraphFont"/>
    <w:link w:val="Heading6"/>
    <w:uiPriority w:val="99"/>
    <w:rsid w:val="00BA6BD3"/>
    <w:rPr>
      <w:rFonts w:ascii="Arial" w:hAnsi="Arial"/>
      <w:b/>
      <w:bCs/>
      <w:szCs w:val="24"/>
      <w:lang w:val="sk-SK"/>
    </w:rPr>
  </w:style>
  <w:style w:type="character" w:customStyle="1" w:styleId="Heading7Char">
    <w:name w:val="Heading 7 Char"/>
    <w:basedOn w:val="DefaultParagraphFont"/>
    <w:link w:val="Heading7"/>
    <w:uiPriority w:val="99"/>
    <w:rsid w:val="00BA6BD3"/>
    <w:rPr>
      <w:rFonts w:ascii="Arial" w:hAnsi="Arial"/>
      <w:b/>
      <w:bCs/>
      <w:szCs w:val="24"/>
      <w:u w:val="single"/>
      <w:lang w:val="sk-SK"/>
    </w:rPr>
  </w:style>
  <w:style w:type="character" w:customStyle="1" w:styleId="Heading8Char">
    <w:name w:val="Heading 8 Char"/>
    <w:basedOn w:val="DefaultParagraphFont"/>
    <w:link w:val="Heading8"/>
    <w:uiPriority w:val="99"/>
    <w:rsid w:val="00BA6BD3"/>
    <w:rPr>
      <w:rFonts w:ascii="Arial" w:hAnsi="Arial"/>
      <w:szCs w:val="24"/>
      <w:u w:val="single"/>
      <w:lang w:val="sk-SK"/>
    </w:rPr>
  </w:style>
  <w:style w:type="character" w:customStyle="1" w:styleId="Heading9Char">
    <w:name w:val="Heading 9 Char"/>
    <w:basedOn w:val="DefaultParagraphFont"/>
    <w:link w:val="Heading9"/>
    <w:uiPriority w:val="99"/>
    <w:rsid w:val="00BA6BD3"/>
    <w:rPr>
      <w:rFonts w:ascii="Arial" w:hAnsi="Arial"/>
      <w:b/>
      <w:bCs/>
      <w:szCs w:val="24"/>
      <w:u w:val="single"/>
      <w:lang w:val="sk-SK"/>
    </w:rPr>
  </w:style>
  <w:style w:type="character" w:customStyle="1" w:styleId="BodyTextIndent2Char">
    <w:name w:val="Body Text Indent 2 Char"/>
    <w:basedOn w:val="DefaultParagraphFont"/>
    <w:link w:val="BodyTextIndent2"/>
    <w:rsid w:val="00BA6BD3"/>
    <w:rPr>
      <w:rFonts w:ascii="Arial" w:hAnsi="Arial"/>
      <w:szCs w:val="24"/>
      <w:lang w:val="sk-SK"/>
    </w:rPr>
  </w:style>
  <w:style w:type="character" w:customStyle="1" w:styleId="HeaderChar">
    <w:name w:val="Header Char"/>
    <w:basedOn w:val="DefaultParagraphFont"/>
    <w:link w:val="Header"/>
    <w:uiPriority w:val="99"/>
    <w:rsid w:val="00BA6BD3"/>
    <w:rPr>
      <w:rFonts w:ascii="Arial" w:hAnsi="Arial"/>
      <w:szCs w:val="24"/>
      <w:lang w:val="sk-SK"/>
    </w:rPr>
  </w:style>
  <w:style w:type="character" w:customStyle="1" w:styleId="FooterChar">
    <w:name w:val="Footer Char"/>
    <w:basedOn w:val="DefaultParagraphFont"/>
    <w:link w:val="Footer"/>
    <w:uiPriority w:val="99"/>
    <w:rsid w:val="00BA6BD3"/>
    <w:rPr>
      <w:rFonts w:ascii="Arial" w:hAnsi="Arial"/>
      <w:szCs w:val="24"/>
      <w:lang w:val="sk-SK"/>
    </w:rPr>
  </w:style>
  <w:style w:type="character" w:customStyle="1" w:styleId="BodyText3Char">
    <w:name w:val="Body Text 3 Char"/>
    <w:basedOn w:val="DefaultParagraphFont"/>
    <w:link w:val="BodyText3"/>
    <w:rsid w:val="00BA6BD3"/>
    <w:rPr>
      <w:rFonts w:ascii="Arial" w:hAnsi="Arial"/>
      <w:color w:val="FF0000"/>
      <w:lang w:val="sk-SK"/>
    </w:rPr>
  </w:style>
  <w:style w:type="character" w:customStyle="1" w:styleId="BodyTextIndentChar">
    <w:name w:val="Body Text Indent Char"/>
    <w:basedOn w:val="DefaultParagraphFont"/>
    <w:link w:val="BodyTextIndent"/>
    <w:uiPriority w:val="99"/>
    <w:rsid w:val="00BA6BD3"/>
    <w:rPr>
      <w:rFonts w:ascii="Arial" w:hAnsi="Arial" w:cs="Arial"/>
      <w:lang w:val="sk-SK"/>
    </w:rPr>
  </w:style>
  <w:style w:type="character" w:customStyle="1" w:styleId="BodyTextIndent3Char">
    <w:name w:val="Body Text Indent 3 Char"/>
    <w:basedOn w:val="DefaultParagraphFont"/>
    <w:link w:val="BodyTextIndent3"/>
    <w:rsid w:val="00BA6BD3"/>
    <w:rPr>
      <w:rFonts w:ascii="Arial" w:hAnsi="Arial"/>
      <w:sz w:val="30"/>
      <w:szCs w:val="30"/>
      <w:lang w:val="sk-SK"/>
    </w:rPr>
  </w:style>
  <w:style w:type="character" w:customStyle="1" w:styleId="BodyTextChar">
    <w:name w:val="Body Text Char"/>
    <w:basedOn w:val="DefaultParagraphFont"/>
    <w:link w:val="BodyText"/>
    <w:rsid w:val="00BA6BD3"/>
    <w:rPr>
      <w:rFonts w:ascii="Arial" w:hAnsi="Arial"/>
      <w:szCs w:val="24"/>
      <w:lang w:val="sk-SK"/>
    </w:rPr>
  </w:style>
  <w:style w:type="character" w:customStyle="1" w:styleId="BodyText2Char">
    <w:name w:val="Body Text 2 Char"/>
    <w:basedOn w:val="DefaultParagraphFont"/>
    <w:link w:val="BodyText2"/>
    <w:rsid w:val="00BA6BD3"/>
    <w:rPr>
      <w:rFonts w:ascii="Arial" w:hAnsi="Arial" w:cs="Arial"/>
      <w:sz w:val="14"/>
      <w:szCs w:val="14"/>
      <w:lang w:val="sk-SK"/>
    </w:rPr>
  </w:style>
  <w:style w:type="character" w:customStyle="1" w:styleId="BalloonTextChar">
    <w:name w:val="Balloon Text Char"/>
    <w:basedOn w:val="DefaultParagraphFont"/>
    <w:link w:val="BalloonText"/>
    <w:uiPriority w:val="99"/>
    <w:semiHidden/>
    <w:rsid w:val="00BA6BD3"/>
    <w:rPr>
      <w:rFonts w:ascii="Tahoma" w:hAnsi="Tahoma" w:cs="Tahoma"/>
      <w:sz w:val="16"/>
      <w:szCs w:val="16"/>
      <w:lang w:val="sk-SK"/>
    </w:rPr>
  </w:style>
  <w:style w:type="numbering" w:customStyle="1" w:styleId="NoList1">
    <w:name w:val="No List1"/>
    <w:next w:val="NoList"/>
    <w:uiPriority w:val="99"/>
    <w:semiHidden/>
    <w:unhideWhenUsed/>
    <w:rsid w:val="00F609CC"/>
  </w:style>
  <w:style w:type="paragraph" w:customStyle="1" w:styleId="Subtitle1">
    <w:name w:val="Subtitle1"/>
    <w:basedOn w:val="Normal"/>
    <w:next w:val="BodyText"/>
    <w:unhideWhenUsed/>
    <w:qFormat/>
    <w:rsid w:val="00F609CC"/>
    <w:pPr>
      <w:spacing w:before="0" w:after="240" w:line="288" w:lineRule="auto"/>
      <w:jc w:val="left"/>
    </w:pPr>
    <w:rPr>
      <w:b/>
      <w:iCs/>
      <w:color w:val="363534"/>
      <w:sz w:val="22"/>
      <w:lang w:val="en-US" w:eastAsia="en-US"/>
    </w:rPr>
  </w:style>
  <w:style w:type="character" w:customStyle="1" w:styleId="SubtitleChar">
    <w:name w:val="Subtitle Char"/>
    <w:link w:val="Subtitle"/>
    <w:rsid w:val="00F609CC"/>
    <w:rPr>
      <w:rFonts w:ascii="Arial" w:hAnsi="Arial"/>
      <w:b/>
      <w:iCs/>
      <w:color w:val="363534"/>
      <w:sz w:val="22"/>
      <w:szCs w:val="24"/>
      <w:lang w:val="en-US" w:eastAsia="en-US"/>
    </w:rPr>
  </w:style>
  <w:style w:type="character" w:styleId="Strong">
    <w:name w:val="Strong"/>
    <w:uiPriority w:val="99"/>
    <w:qFormat/>
    <w:rsid w:val="00F609CC"/>
    <w:rPr>
      <w:b/>
      <w:bCs/>
    </w:rPr>
  </w:style>
  <w:style w:type="character" w:styleId="Emphasis">
    <w:name w:val="Emphasis"/>
    <w:uiPriority w:val="99"/>
    <w:qFormat/>
    <w:rsid w:val="00F609CC"/>
    <w:rPr>
      <w:b/>
      <w:bCs/>
      <w:i/>
      <w:iCs/>
      <w:spacing w:val="10"/>
      <w:bdr w:val="none" w:sz="0" w:space="0" w:color="auto"/>
      <w:shd w:val="clear" w:color="auto" w:fill="auto"/>
    </w:rPr>
  </w:style>
  <w:style w:type="paragraph" w:styleId="NoSpacing">
    <w:name w:val="No Spacing"/>
    <w:basedOn w:val="Normal"/>
    <w:link w:val="NoSpacingChar"/>
    <w:uiPriority w:val="1"/>
    <w:qFormat/>
    <w:rsid w:val="00F609CC"/>
    <w:pPr>
      <w:spacing w:before="0" w:after="0" w:line="240" w:lineRule="auto"/>
      <w:jc w:val="left"/>
    </w:pPr>
    <w:rPr>
      <w:szCs w:val="22"/>
      <w:lang w:val="en-US" w:eastAsia="en-US"/>
    </w:rPr>
  </w:style>
  <w:style w:type="character" w:customStyle="1" w:styleId="NoSpacingChar">
    <w:name w:val="No Spacing Char"/>
    <w:basedOn w:val="DefaultParagraphFont"/>
    <w:link w:val="NoSpacing"/>
    <w:uiPriority w:val="1"/>
    <w:rsid w:val="00F609CC"/>
    <w:rPr>
      <w:rFonts w:ascii="Arial" w:hAnsi="Arial"/>
      <w:szCs w:val="22"/>
      <w:lang w:val="en-US" w:eastAsia="en-US"/>
    </w:rPr>
  </w:style>
  <w:style w:type="paragraph" w:customStyle="1" w:styleId="Quote1">
    <w:name w:val="Quote1"/>
    <w:basedOn w:val="Normal"/>
    <w:next w:val="BodyText"/>
    <w:uiPriority w:val="2"/>
    <w:qFormat/>
    <w:rsid w:val="00F609CC"/>
    <w:pPr>
      <w:spacing w:before="200" w:after="0" w:line="288" w:lineRule="auto"/>
      <w:jc w:val="left"/>
    </w:pPr>
    <w:rPr>
      <w:i/>
      <w:iCs/>
      <w:color w:val="991F3D"/>
      <w:sz w:val="28"/>
      <w:szCs w:val="22"/>
      <w:lang w:val="en-US" w:eastAsia="en-US"/>
    </w:rPr>
  </w:style>
  <w:style w:type="character" w:customStyle="1" w:styleId="QuoteChar">
    <w:name w:val="Quote Char"/>
    <w:link w:val="Quote"/>
    <w:uiPriority w:val="2"/>
    <w:rsid w:val="00F609CC"/>
    <w:rPr>
      <w:rFonts w:ascii="Arial" w:hAnsi="Arial"/>
      <w:i/>
      <w:iCs/>
      <w:color w:val="991F3D"/>
      <w:sz w:val="28"/>
      <w:szCs w:val="22"/>
      <w:lang w:val="en-US" w:eastAsia="en-US"/>
    </w:rPr>
  </w:style>
  <w:style w:type="paragraph" w:styleId="IntenseQuote">
    <w:name w:val="Intense Quote"/>
    <w:basedOn w:val="Normal"/>
    <w:next w:val="BodyText"/>
    <w:link w:val="IntenseQuoteChar"/>
    <w:uiPriority w:val="2"/>
    <w:rsid w:val="00F609CC"/>
    <w:pPr>
      <w:pBdr>
        <w:bottom w:val="single" w:sz="4" w:space="1" w:color="auto"/>
      </w:pBdr>
      <w:spacing w:before="200" w:after="280" w:line="288" w:lineRule="auto"/>
      <w:ind w:left="1008" w:right="1152"/>
    </w:pPr>
    <w:rPr>
      <w:b/>
      <w:bCs/>
      <w:i/>
      <w:iCs/>
      <w:szCs w:val="22"/>
      <w:lang w:val="en-US" w:eastAsia="en-US"/>
    </w:rPr>
  </w:style>
  <w:style w:type="character" w:customStyle="1" w:styleId="IntenseQuoteChar">
    <w:name w:val="Intense Quote Char"/>
    <w:basedOn w:val="DefaultParagraphFont"/>
    <w:link w:val="IntenseQuote"/>
    <w:uiPriority w:val="2"/>
    <w:rsid w:val="00F609CC"/>
    <w:rPr>
      <w:rFonts w:ascii="Arial" w:hAnsi="Arial"/>
      <w:b/>
      <w:bCs/>
      <w:i/>
      <w:iCs/>
      <w:szCs w:val="22"/>
      <w:lang w:val="en-US" w:eastAsia="en-US"/>
    </w:rPr>
  </w:style>
  <w:style w:type="character" w:styleId="SubtleEmphasis">
    <w:name w:val="Subtle Emphasis"/>
    <w:uiPriority w:val="19"/>
    <w:qFormat/>
    <w:rsid w:val="00F609CC"/>
    <w:rPr>
      <w:i/>
      <w:iCs/>
    </w:rPr>
  </w:style>
  <w:style w:type="character" w:styleId="IntenseEmphasis">
    <w:name w:val="Intense Emphasis"/>
    <w:uiPriority w:val="2"/>
    <w:rsid w:val="00F609CC"/>
    <w:rPr>
      <w:b/>
      <w:bCs/>
    </w:rPr>
  </w:style>
  <w:style w:type="character" w:styleId="SubtleReference">
    <w:name w:val="Subtle Reference"/>
    <w:uiPriority w:val="2"/>
    <w:rsid w:val="00F609CC"/>
    <w:rPr>
      <w:smallCaps/>
    </w:rPr>
  </w:style>
  <w:style w:type="character" w:styleId="IntenseReference">
    <w:name w:val="Intense Reference"/>
    <w:uiPriority w:val="2"/>
    <w:rsid w:val="00F609CC"/>
    <w:rPr>
      <w:smallCaps/>
      <w:spacing w:val="5"/>
      <w:u w:val="single"/>
    </w:rPr>
  </w:style>
  <w:style w:type="character" w:styleId="BookTitle">
    <w:name w:val="Book Title"/>
    <w:uiPriority w:val="33"/>
    <w:rsid w:val="00F609CC"/>
    <w:rPr>
      <w:i/>
      <w:iCs/>
      <w:smallCaps/>
      <w:spacing w:val="5"/>
    </w:rPr>
  </w:style>
  <w:style w:type="paragraph" w:customStyle="1" w:styleId="Intro">
    <w:name w:val="Intro"/>
    <w:basedOn w:val="Normal"/>
    <w:next w:val="BodyText"/>
    <w:uiPriority w:val="3"/>
    <w:qFormat/>
    <w:rsid w:val="00F609CC"/>
    <w:pPr>
      <w:spacing w:before="0" w:after="640" w:line="240" w:lineRule="auto"/>
      <w:contextualSpacing/>
      <w:jc w:val="left"/>
    </w:pPr>
    <w:rPr>
      <w:b/>
      <w:color w:val="991F3D"/>
      <w:sz w:val="36"/>
      <w:szCs w:val="22"/>
      <w:lang w:val="en-US" w:eastAsia="en-US"/>
    </w:rPr>
  </w:style>
  <w:style w:type="numbering" w:customStyle="1" w:styleId="CGI-Headings">
    <w:name w:val="CGI - Headings"/>
    <w:uiPriority w:val="99"/>
    <w:rsid w:val="00F609CC"/>
    <w:pPr>
      <w:numPr>
        <w:numId w:val="10"/>
      </w:numPr>
    </w:pPr>
  </w:style>
  <w:style w:type="paragraph" w:customStyle="1" w:styleId="GenericSubTitle">
    <w:name w:val="Generic Sub Title"/>
    <w:next w:val="BodyText"/>
    <w:uiPriority w:val="12"/>
    <w:qFormat/>
    <w:rsid w:val="00F609CC"/>
    <w:pPr>
      <w:keepNext/>
      <w:keepLines/>
      <w:spacing w:before="120" w:after="60" w:line="288" w:lineRule="auto"/>
    </w:pPr>
    <w:rPr>
      <w:rFonts w:ascii="Arial" w:hAnsi="Arial"/>
      <w:b/>
      <w:caps/>
      <w:noProof/>
      <w:color w:val="991F3D"/>
      <w:szCs w:val="26"/>
      <w:lang w:val="en-US" w:eastAsia="fr-CA"/>
    </w:rPr>
  </w:style>
  <w:style w:type="paragraph" w:styleId="List">
    <w:name w:val="List"/>
    <w:basedOn w:val="Normal"/>
    <w:uiPriority w:val="99"/>
    <w:rsid w:val="00F609CC"/>
    <w:pPr>
      <w:spacing w:before="0" w:after="0" w:line="288" w:lineRule="auto"/>
      <w:ind w:left="360" w:hanging="360"/>
      <w:contextualSpacing/>
      <w:jc w:val="left"/>
    </w:pPr>
    <w:rPr>
      <w:szCs w:val="22"/>
      <w:lang w:val="en-US" w:eastAsia="en-US"/>
    </w:rPr>
  </w:style>
  <w:style w:type="paragraph" w:customStyle="1" w:styleId="BlockText1">
    <w:name w:val="Block Text1"/>
    <w:basedOn w:val="Normal"/>
    <w:next w:val="BodyText"/>
    <w:qFormat/>
    <w:rsid w:val="00F609CC"/>
    <w:pPr>
      <w:pBdr>
        <w:top w:val="single" w:sz="2" w:space="10" w:color="FFFFFF"/>
        <w:left w:val="single" w:sz="2" w:space="10" w:color="FFFFFF"/>
        <w:bottom w:val="single" w:sz="2" w:space="10" w:color="FFFFFF"/>
        <w:right w:val="single" w:sz="2" w:space="10" w:color="FFFFFF"/>
      </w:pBdr>
      <w:shd w:val="clear" w:color="auto" w:fill="991F3D"/>
      <w:spacing w:before="0" w:after="0" w:line="288" w:lineRule="auto"/>
      <w:ind w:left="216" w:right="216"/>
      <w:jc w:val="left"/>
    </w:pPr>
    <w:rPr>
      <w:iCs/>
      <w:color w:val="FFFFFF"/>
      <w:szCs w:val="22"/>
      <w:lang w:val="en-US" w:eastAsia="en-US"/>
    </w:rPr>
  </w:style>
  <w:style w:type="paragraph" w:customStyle="1" w:styleId="Note">
    <w:name w:val="Note"/>
    <w:basedOn w:val="Normal"/>
    <w:next w:val="BodyText"/>
    <w:uiPriority w:val="3"/>
    <w:qFormat/>
    <w:rsid w:val="00F609CC"/>
    <w:pPr>
      <w:spacing w:after="60" w:line="240" w:lineRule="auto"/>
      <w:jc w:val="left"/>
    </w:pPr>
    <w:rPr>
      <w:sz w:val="14"/>
      <w:szCs w:val="22"/>
      <w:lang w:val="en-US" w:eastAsia="en-US"/>
    </w:rPr>
  </w:style>
  <w:style w:type="paragraph" w:customStyle="1" w:styleId="Cover-Clientname">
    <w:name w:val="Cover - Client name"/>
    <w:basedOn w:val="Normal"/>
    <w:next w:val="BodyText"/>
    <w:uiPriority w:val="99"/>
    <w:qFormat/>
    <w:rsid w:val="00F609CC"/>
    <w:pPr>
      <w:spacing w:before="0" w:after="0" w:line="240" w:lineRule="auto"/>
      <w:jc w:val="left"/>
    </w:pPr>
    <w:rPr>
      <w:b/>
      <w:color w:val="E31937"/>
      <w:sz w:val="64"/>
      <w:szCs w:val="48"/>
      <w:lang w:val="en-US" w:eastAsia="en-US"/>
    </w:rPr>
  </w:style>
  <w:style w:type="paragraph" w:customStyle="1" w:styleId="Cover-Proposalname">
    <w:name w:val="Cover - Proposal name"/>
    <w:basedOn w:val="Cover-Clientname"/>
    <w:next w:val="BodyText"/>
    <w:uiPriority w:val="99"/>
    <w:qFormat/>
    <w:rsid w:val="00F609CC"/>
    <w:rPr>
      <w:color w:val="FF6A00"/>
    </w:rPr>
  </w:style>
  <w:style w:type="paragraph" w:customStyle="1" w:styleId="Cover-footersecurity">
    <w:name w:val="Cover - footer security"/>
    <w:basedOn w:val="Footer"/>
    <w:next w:val="BodyText"/>
    <w:uiPriority w:val="99"/>
    <w:qFormat/>
    <w:rsid w:val="00F609CC"/>
    <w:pPr>
      <w:tabs>
        <w:tab w:val="clear" w:pos="4536"/>
        <w:tab w:val="clear" w:pos="9072"/>
        <w:tab w:val="left" w:pos="6840"/>
        <w:tab w:val="right" w:pos="9720"/>
      </w:tabs>
      <w:spacing w:before="0" w:after="60" w:line="240" w:lineRule="auto"/>
      <w:jc w:val="left"/>
    </w:pPr>
    <w:rPr>
      <w:b/>
      <w:color w:val="F2A200"/>
      <w:sz w:val="32"/>
      <w:szCs w:val="28"/>
      <w:lang w:val="en-US" w:eastAsia="en-US"/>
    </w:rPr>
  </w:style>
  <w:style w:type="paragraph" w:customStyle="1" w:styleId="Footersecurity">
    <w:name w:val="Footer security"/>
    <w:basedOn w:val="Footer"/>
    <w:next w:val="BodyText"/>
    <w:uiPriority w:val="99"/>
    <w:qFormat/>
    <w:rsid w:val="00F609CC"/>
    <w:pPr>
      <w:tabs>
        <w:tab w:val="clear" w:pos="4536"/>
        <w:tab w:val="clear" w:pos="9072"/>
        <w:tab w:val="left" w:pos="6840"/>
        <w:tab w:val="right" w:pos="9720"/>
      </w:tabs>
      <w:spacing w:before="0" w:after="0" w:line="240" w:lineRule="auto"/>
      <w:jc w:val="left"/>
    </w:pPr>
    <w:rPr>
      <w:b/>
      <w:color w:val="F2A200"/>
      <w:szCs w:val="16"/>
      <w:lang w:val="en-US" w:eastAsia="en-US"/>
    </w:rPr>
  </w:style>
  <w:style w:type="paragraph" w:customStyle="1" w:styleId="Appendixheading1">
    <w:name w:val="Appendix heading 1"/>
    <w:basedOn w:val="Heading1"/>
    <w:next w:val="BodyText"/>
    <w:uiPriority w:val="10"/>
    <w:qFormat/>
    <w:rsid w:val="00F609CC"/>
    <w:pPr>
      <w:keepLines/>
      <w:numPr>
        <w:numId w:val="12"/>
      </w:numPr>
      <w:spacing w:before="240" w:after="0" w:line="288" w:lineRule="auto"/>
      <w:ind w:left="720" w:hanging="360"/>
      <w:jc w:val="left"/>
    </w:pPr>
    <w:rPr>
      <w:b/>
      <w:bCs/>
      <w:color w:val="991F3D"/>
      <w:sz w:val="40"/>
      <w:szCs w:val="28"/>
      <w:lang w:eastAsia="en-US"/>
    </w:rPr>
  </w:style>
  <w:style w:type="paragraph" w:customStyle="1" w:styleId="Appendixheading2">
    <w:name w:val="Appendix heading 2"/>
    <w:basedOn w:val="Heading2"/>
    <w:next w:val="BodyText"/>
    <w:uiPriority w:val="10"/>
    <w:qFormat/>
    <w:rsid w:val="00F609CC"/>
    <w:pPr>
      <w:keepNext w:val="0"/>
      <w:numPr>
        <w:numId w:val="12"/>
      </w:numPr>
      <w:spacing w:before="200" w:after="60" w:line="288" w:lineRule="auto"/>
      <w:ind w:left="1440" w:hanging="360"/>
      <w:jc w:val="left"/>
    </w:pPr>
    <w:rPr>
      <w:b/>
      <w:caps w:val="0"/>
      <w:color w:val="991F3D"/>
      <w:sz w:val="32"/>
      <w:szCs w:val="26"/>
      <w:lang w:val="en-US" w:eastAsia="en-US"/>
    </w:rPr>
  </w:style>
  <w:style w:type="paragraph" w:customStyle="1" w:styleId="Appendixheading3">
    <w:name w:val="Appendix heading 3"/>
    <w:basedOn w:val="Heading3"/>
    <w:next w:val="BodyText"/>
    <w:uiPriority w:val="10"/>
    <w:qFormat/>
    <w:rsid w:val="00F609CC"/>
    <w:pPr>
      <w:keepNext w:val="0"/>
      <w:numPr>
        <w:numId w:val="12"/>
      </w:numPr>
      <w:spacing w:before="120" w:after="60" w:line="271" w:lineRule="auto"/>
      <w:ind w:left="2160" w:hanging="180"/>
      <w:jc w:val="left"/>
    </w:pPr>
    <w:rPr>
      <w:rFonts w:eastAsia="Times New Roman"/>
      <w:color w:val="991F3D"/>
      <w:sz w:val="28"/>
      <w:szCs w:val="22"/>
      <w:lang w:eastAsia="en-US"/>
    </w:rPr>
  </w:style>
  <w:style w:type="paragraph" w:customStyle="1" w:styleId="Appendixheading4">
    <w:name w:val="Appendix heading 4"/>
    <w:basedOn w:val="Heading4"/>
    <w:next w:val="BodyText"/>
    <w:uiPriority w:val="10"/>
    <w:qFormat/>
    <w:rsid w:val="00F609CC"/>
    <w:pPr>
      <w:keepNext w:val="0"/>
      <w:numPr>
        <w:numId w:val="12"/>
      </w:numPr>
      <w:spacing w:before="0" w:after="0" w:line="288" w:lineRule="auto"/>
      <w:ind w:left="2880" w:hanging="360"/>
      <w:jc w:val="left"/>
    </w:pPr>
    <w:rPr>
      <w:b/>
      <w:i w:val="0"/>
      <w:iCs/>
      <w:caps/>
      <w:color w:val="991F3D"/>
      <w:sz w:val="24"/>
      <w:szCs w:val="22"/>
      <w:lang w:val="en-US" w:eastAsia="en-US"/>
    </w:rPr>
  </w:style>
  <w:style w:type="paragraph" w:customStyle="1" w:styleId="Appendixheading5">
    <w:name w:val="Appendix heading 5"/>
    <w:basedOn w:val="Heading5"/>
    <w:next w:val="BodyText"/>
    <w:uiPriority w:val="10"/>
    <w:qFormat/>
    <w:rsid w:val="00F609CC"/>
    <w:pPr>
      <w:keepNext w:val="0"/>
      <w:numPr>
        <w:numId w:val="12"/>
      </w:numPr>
      <w:spacing w:before="0" w:after="0" w:line="288" w:lineRule="auto"/>
      <w:ind w:left="3600" w:hanging="360"/>
      <w:jc w:val="left"/>
    </w:pPr>
    <w:rPr>
      <w:bCs w:val="0"/>
      <w:color w:val="991F3D"/>
      <w:sz w:val="24"/>
      <w:szCs w:val="22"/>
      <w:lang w:val="en-US" w:eastAsia="en-US"/>
    </w:rPr>
  </w:style>
  <w:style w:type="numbering" w:customStyle="1" w:styleId="CGI-Appendix">
    <w:name w:val="CGI - Appendix"/>
    <w:uiPriority w:val="99"/>
    <w:rsid w:val="00F609CC"/>
    <w:pPr>
      <w:numPr>
        <w:numId w:val="11"/>
      </w:numPr>
    </w:pPr>
  </w:style>
  <w:style w:type="paragraph" w:customStyle="1" w:styleId="GenericTitle">
    <w:name w:val="Generic Title"/>
    <w:next w:val="BodyText"/>
    <w:uiPriority w:val="11"/>
    <w:qFormat/>
    <w:rsid w:val="00F609CC"/>
    <w:pPr>
      <w:spacing w:before="240" w:line="288" w:lineRule="auto"/>
    </w:pPr>
    <w:rPr>
      <w:rFonts w:ascii="Arial" w:hAnsi="Arial"/>
      <w:b/>
      <w:bCs/>
      <w:color w:val="991F3D"/>
      <w:sz w:val="40"/>
      <w:szCs w:val="28"/>
      <w:lang w:val="en-US" w:eastAsia="en-US"/>
    </w:rPr>
  </w:style>
  <w:style w:type="table" w:customStyle="1" w:styleId="TableGrid1">
    <w:name w:val="Table Grid1"/>
    <w:basedOn w:val="TableNormal"/>
    <w:next w:val="TableGrid"/>
    <w:uiPriority w:val="59"/>
    <w:rsid w:val="00F609CC"/>
    <w:rPr>
      <w:rFonts w:ascii="Arial" w:hAnsi="Arial"/>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GI-Table">
    <w:name w:val="CGI - Table"/>
    <w:basedOn w:val="TableNormal"/>
    <w:uiPriority w:val="99"/>
    <w:rsid w:val="00F609CC"/>
    <w:rPr>
      <w:rFonts w:ascii="Arial" w:hAnsi="Arial"/>
      <w:sz w:val="16"/>
      <w:lang w:val="fr-CA" w:eastAsia="fr-CA"/>
    </w:rPr>
    <w:tblPr>
      <w:tblInd w:w="120" w:type="dxa"/>
      <w:tblBorders>
        <w:top w:val="single" w:sz="4" w:space="0" w:color="363534"/>
        <w:left w:val="single" w:sz="4" w:space="0" w:color="363534"/>
        <w:bottom w:val="single" w:sz="4" w:space="0" w:color="363534"/>
        <w:right w:val="single" w:sz="4" w:space="0" w:color="363534"/>
        <w:insideH w:val="single" w:sz="4" w:space="0" w:color="363534"/>
        <w:insideV w:val="single" w:sz="4" w:space="0" w:color="363534"/>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Arial" w:hAnsi="Arial"/>
        <w:b/>
        <w:color w:val="FFFFFF"/>
        <w:sz w:val="18"/>
      </w:rPr>
      <w:tblPr/>
      <w:tcPr>
        <w:tcBorders>
          <w:top w:val="single" w:sz="4" w:space="0" w:color="363534"/>
          <w:left w:val="single" w:sz="4" w:space="0" w:color="363534"/>
          <w:bottom w:val="single" w:sz="4" w:space="0" w:color="363534"/>
          <w:right w:val="single" w:sz="4" w:space="0" w:color="363534"/>
          <w:insideH w:val="single" w:sz="4" w:space="0" w:color="363534"/>
          <w:insideV w:val="single" w:sz="4" w:space="0" w:color="FFFFFF"/>
        </w:tcBorders>
        <w:shd w:val="clear" w:color="auto" w:fill="991F3D"/>
      </w:tcPr>
    </w:tblStylePr>
    <w:tblStylePr w:type="firstCol">
      <w:rPr>
        <w:rFonts w:ascii="Arial" w:hAnsi="Arial"/>
        <w:color w:val="363534"/>
        <w:sz w:val="16"/>
      </w:rPr>
    </w:tblStylePr>
    <w:tblStylePr w:type="nwCell">
      <w:rPr>
        <w:rFonts w:ascii="Arial" w:hAnsi="Arial"/>
        <w:b/>
        <w:color w:val="FFFFFF"/>
        <w:sz w:val="18"/>
      </w:rPr>
    </w:tblStylePr>
  </w:style>
  <w:style w:type="table" w:customStyle="1" w:styleId="Ombrageclair1">
    <w:name w:val="Ombrage clair1"/>
    <w:basedOn w:val="TableNormal"/>
    <w:uiPriority w:val="60"/>
    <w:rsid w:val="00F609CC"/>
    <w:rPr>
      <w:rFonts w:ascii="Arial" w:hAnsi="Arial"/>
      <w:color w:val="282727"/>
      <w:lang w:val="fr-CA" w:eastAsia="fr-CA"/>
    </w:rPr>
    <w:tblPr>
      <w:tblStyleRowBandSize w:val="1"/>
      <w:tblStyleColBandSize w:val="1"/>
      <w:tblBorders>
        <w:top w:val="single" w:sz="8" w:space="0" w:color="363534"/>
        <w:bottom w:val="single" w:sz="8" w:space="0" w:color="363534"/>
      </w:tblBorders>
    </w:tblPr>
    <w:tblStylePr w:type="firstRow">
      <w:pPr>
        <w:spacing w:before="0" w:after="0" w:line="240" w:lineRule="auto"/>
      </w:pPr>
      <w:rPr>
        <w:b/>
        <w:bCs/>
      </w:rPr>
      <w:tblPr/>
      <w:tcPr>
        <w:tcBorders>
          <w:top w:val="single" w:sz="8" w:space="0" w:color="363534"/>
          <w:left w:val="nil"/>
          <w:bottom w:val="single" w:sz="8" w:space="0" w:color="363534"/>
          <w:right w:val="nil"/>
          <w:insideH w:val="nil"/>
          <w:insideV w:val="nil"/>
        </w:tcBorders>
      </w:tcPr>
    </w:tblStylePr>
    <w:tblStylePr w:type="lastRow">
      <w:pPr>
        <w:spacing w:before="0" w:after="0" w:line="240" w:lineRule="auto"/>
      </w:pPr>
      <w:rPr>
        <w:b/>
        <w:bCs/>
      </w:rPr>
      <w:tblPr/>
      <w:tcPr>
        <w:tcBorders>
          <w:top w:val="single" w:sz="8" w:space="0" w:color="363534"/>
          <w:left w:val="nil"/>
          <w:bottom w:val="single" w:sz="8" w:space="0" w:color="3635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cPr>
    </w:tblStylePr>
    <w:tblStylePr w:type="band1Horz">
      <w:tblPr/>
      <w:tcPr>
        <w:tcBorders>
          <w:left w:val="nil"/>
          <w:right w:val="nil"/>
          <w:insideH w:val="nil"/>
          <w:insideV w:val="nil"/>
        </w:tcBorders>
        <w:shd w:val="clear" w:color="auto" w:fill="CECCCC"/>
      </w:tcPr>
    </w:tblStylePr>
  </w:style>
  <w:style w:type="table" w:customStyle="1" w:styleId="Trameclaire-Accent11">
    <w:name w:val="Trame claire - Accent 11"/>
    <w:basedOn w:val="TableNormal"/>
    <w:uiPriority w:val="60"/>
    <w:rsid w:val="00F609CC"/>
    <w:rPr>
      <w:rFonts w:ascii="Arial" w:hAnsi="Arial"/>
      <w:color w:val="A91228"/>
      <w:lang w:val="fr-CA" w:eastAsia="fr-CA"/>
    </w:rPr>
    <w:tblPr>
      <w:tblStyleRowBandSize w:val="1"/>
      <w:tblStyleColBandSize w:val="1"/>
      <w:tblBorders>
        <w:top w:val="single" w:sz="8" w:space="0" w:color="E31937"/>
        <w:bottom w:val="single" w:sz="8" w:space="0" w:color="E31937"/>
      </w:tblBorders>
    </w:tblPr>
    <w:tblStylePr w:type="firstRow">
      <w:pPr>
        <w:spacing w:before="0" w:after="0" w:line="240" w:lineRule="auto"/>
      </w:pPr>
      <w:rPr>
        <w:b/>
        <w:bCs/>
      </w:rPr>
      <w:tblPr/>
      <w:tcPr>
        <w:tcBorders>
          <w:top w:val="single" w:sz="8" w:space="0" w:color="E31937"/>
          <w:left w:val="nil"/>
          <w:bottom w:val="single" w:sz="8" w:space="0" w:color="E31937"/>
          <w:right w:val="nil"/>
          <w:insideH w:val="nil"/>
          <w:insideV w:val="nil"/>
        </w:tcBorders>
      </w:tcPr>
    </w:tblStylePr>
    <w:tblStylePr w:type="lastRow">
      <w:pPr>
        <w:spacing w:before="0" w:after="0" w:line="240" w:lineRule="auto"/>
      </w:pPr>
      <w:rPr>
        <w:b/>
        <w:bCs/>
      </w:rPr>
      <w:tblPr/>
      <w:tcPr>
        <w:tcBorders>
          <w:top w:val="single" w:sz="8" w:space="0" w:color="E31937"/>
          <w:left w:val="nil"/>
          <w:bottom w:val="single" w:sz="8" w:space="0" w:color="E319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5CC"/>
      </w:tcPr>
    </w:tblStylePr>
    <w:tblStylePr w:type="band1Horz">
      <w:tblPr/>
      <w:tcPr>
        <w:tcBorders>
          <w:left w:val="nil"/>
          <w:right w:val="nil"/>
          <w:insideH w:val="nil"/>
          <w:insideV w:val="nil"/>
        </w:tcBorders>
        <w:shd w:val="clear" w:color="auto" w:fill="F8C5CC"/>
      </w:tcPr>
    </w:tblStylePr>
  </w:style>
  <w:style w:type="table" w:customStyle="1" w:styleId="LightShading-Accent21">
    <w:name w:val="Light Shading - Accent 21"/>
    <w:basedOn w:val="TableNormal"/>
    <w:next w:val="LightShading-Accent2"/>
    <w:uiPriority w:val="60"/>
    <w:rsid w:val="00F609CC"/>
    <w:rPr>
      <w:rFonts w:ascii="Arial" w:hAnsi="Arial"/>
      <w:color w:val="72172D"/>
      <w:lang w:val="fr-CA" w:eastAsia="fr-CA"/>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paragraph" w:customStyle="1" w:styleId="TableText">
    <w:name w:val="Table Text"/>
    <w:basedOn w:val="Normal"/>
    <w:uiPriority w:val="18"/>
    <w:qFormat/>
    <w:rsid w:val="00F609CC"/>
    <w:pPr>
      <w:spacing w:before="0" w:after="0" w:line="240" w:lineRule="auto"/>
      <w:jc w:val="left"/>
    </w:pPr>
    <w:rPr>
      <w:color w:val="363534"/>
      <w:sz w:val="16"/>
      <w:szCs w:val="22"/>
      <w:lang w:val="en-US" w:eastAsia="en-US"/>
    </w:rPr>
  </w:style>
  <w:style w:type="paragraph" w:customStyle="1" w:styleId="TableHeading">
    <w:name w:val="Table Heading"/>
    <w:basedOn w:val="Normal"/>
    <w:uiPriority w:val="18"/>
    <w:qFormat/>
    <w:rsid w:val="00F609CC"/>
    <w:pPr>
      <w:spacing w:before="0" w:after="0" w:line="240" w:lineRule="auto"/>
      <w:jc w:val="left"/>
    </w:pPr>
    <w:rPr>
      <w:b/>
      <w:color w:val="FFFFFF"/>
      <w:sz w:val="18"/>
      <w:szCs w:val="22"/>
      <w:lang w:val="en-US" w:eastAsia="en-US"/>
    </w:rPr>
  </w:style>
  <w:style w:type="paragraph" w:customStyle="1" w:styleId="TableSubTitle">
    <w:name w:val="Table Sub Title"/>
    <w:basedOn w:val="Normal"/>
    <w:uiPriority w:val="18"/>
    <w:qFormat/>
    <w:rsid w:val="00F609CC"/>
    <w:pPr>
      <w:spacing w:before="0" w:after="0" w:line="288" w:lineRule="auto"/>
      <w:jc w:val="left"/>
    </w:pPr>
    <w:rPr>
      <w:sz w:val="18"/>
      <w:szCs w:val="18"/>
      <w:lang w:val="en-US" w:eastAsia="en-US"/>
    </w:rPr>
  </w:style>
  <w:style w:type="character" w:styleId="PlaceholderText">
    <w:name w:val="Placeholder Text"/>
    <w:basedOn w:val="DefaultParagraphFont"/>
    <w:uiPriority w:val="99"/>
    <w:semiHidden/>
    <w:rsid w:val="00F609CC"/>
    <w:rPr>
      <w:color w:val="808080"/>
    </w:rPr>
  </w:style>
  <w:style w:type="paragraph" w:customStyle="1" w:styleId="Appendixheading6">
    <w:name w:val="Appendix heading 6"/>
    <w:basedOn w:val="Heading6"/>
    <w:next w:val="BodyText"/>
    <w:uiPriority w:val="10"/>
    <w:qFormat/>
    <w:rsid w:val="00F609CC"/>
    <w:pPr>
      <w:keepNext w:val="0"/>
      <w:numPr>
        <w:ilvl w:val="0"/>
        <w:numId w:val="0"/>
      </w:numPr>
      <w:spacing w:before="0" w:after="0" w:line="271" w:lineRule="auto"/>
      <w:jc w:val="left"/>
    </w:pPr>
    <w:rPr>
      <w:b w:val="0"/>
      <w:iCs/>
      <w:caps/>
      <w:color w:val="991F3D"/>
      <w:szCs w:val="22"/>
      <w:lang w:val="en-US" w:eastAsia="en-US"/>
    </w:rPr>
  </w:style>
  <w:style w:type="paragraph" w:customStyle="1" w:styleId="Appendixheading7">
    <w:name w:val="Appendix heading 7"/>
    <w:basedOn w:val="Heading7"/>
    <w:next w:val="BodyText"/>
    <w:uiPriority w:val="10"/>
    <w:qFormat/>
    <w:rsid w:val="00F609CC"/>
    <w:pPr>
      <w:keepNext w:val="0"/>
      <w:numPr>
        <w:ilvl w:val="0"/>
        <w:numId w:val="0"/>
      </w:numPr>
      <w:spacing w:before="0" w:after="0" w:line="288" w:lineRule="auto"/>
      <w:jc w:val="left"/>
    </w:pPr>
    <w:rPr>
      <w:b w:val="0"/>
      <w:bCs w:val="0"/>
      <w:iCs/>
      <w:color w:val="991F3D"/>
      <w:szCs w:val="22"/>
      <w:u w:val="none"/>
      <w:lang w:val="en-US" w:eastAsia="en-US"/>
    </w:rPr>
  </w:style>
  <w:style w:type="paragraph" w:styleId="ListBullet">
    <w:name w:val="List Bullet"/>
    <w:basedOn w:val="Normal"/>
    <w:uiPriority w:val="1"/>
    <w:qFormat/>
    <w:rsid w:val="00F609CC"/>
    <w:pPr>
      <w:numPr>
        <w:numId w:val="6"/>
      </w:numPr>
      <w:tabs>
        <w:tab w:val="num" w:pos="720"/>
      </w:tabs>
      <w:spacing w:before="0" w:after="40" w:line="288" w:lineRule="auto"/>
      <w:ind w:left="720"/>
      <w:jc w:val="left"/>
    </w:pPr>
    <w:rPr>
      <w:szCs w:val="22"/>
      <w:lang w:val="en-US" w:eastAsia="en-US"/>
    </w:rPr>
  </w:style>
  <w:style w:type="paragraph" w:styleId="ListBullet2">
    <w:name w:val="List Bullet 2"/>
    <w:basedOn w:val="Normal"/>
    <w:uiPriority w:val="1"/>
    <w:qFormat/>
    <w:rsid w:val="00F609CC"/>
    <w:pPr>
      <w:numPr>
        <w:numId w:val="7"/>
      </w:numPr>
      <w:spacing w:before="0" w:after="40" w:line="288" w:lineRule="auto"/>
      <w:ind w:left="432" w:hanging="432"/>
      <w:jc w:val="left"/>
    </w:pPr>
    <w:rPr>
      <w:szCs w:val="22"/>
      <w:lang w:val="en-US" w:eastAsia="en-US"/>
    </w:rPr>
  </w:style>
  <w:style w:type="paragraph" w:styleId="ListBullet3">
    <w:name w:val="List Bullet 3"/>
    <w:basedOn w:val="Normal"/>
    <w:uiPriority w:val="1"/>
    <w:qFormat/>
    <w:rsid w:val="00F609CC"/>
    <w:pPr>
      <w:numPr>
        <w:numId w:val="8"/>
      </w:numPr>
      <w:spacing w:before="0" w:after="40" w:line="288" w:lineRule="auto"/>
      <w:ind w:left="720"/>
      <w:jc w:val="left"/>
    </w:pPr>
    <w:rPr>
      <w:szCs w:val="22"/>
      <w:lang w:val="en-US" w:eastAsia="en-US"/>
    </w:rPr>
  </w:style>
  <w:style w:type="paragraph" w:styleId="ListBullet4">
    <w:name w:val="List Bullet 4"/>
    <w:basedOn w:val="Normal"/>
    <w:uiPriority w:val="1"/>
    <w:qFormat/>
    <w:rsid w:val="00F609CC"/>
    <w:pPr>
      <w:numPr>
        <w:numId w:val="9"/>
      </w:numPr>
      <w:spacing w:before="0" w:after="0" w:line="288" w:lineRule="auto"/>
      <w:ind w:left="720"/>
      <w:contextualSpacing/>
      <w:jc w:val="left"/>
    </w:pPr>
    <w:rPr>
      <w:szCs w:val="22"/>
      <w:lang w:val="en-US" w:eastAsia="en-US"/>
    </w:rPr>
  </w:style>
  <w:style w:type="paragraph" w:customStyle="1" w:styleId="BodyText0">
    <w:name w:val="BodyText"/>
    <w:link w:val="BodyTextChar0"/>
    <w:rsid w:val="00F609CC"/>
    <w:pPr>
      <w:spacing w:before="120" w:line="320" w:lineRule="exact"/>
      <w:jc w:val="both"/>
    </w:pPr>
    <w:rPr>
      <w:rFonts w:ascii="Verdana" w:eastAsia="PMingLiU" w:hAnsi="Verdana" w:cs="Arial"/>
      <w:bCs/>
      <w:sz w:val="18"/>
      <w:szCs w:val="18"/>
      <w:lang w:val="en-GB" w:eastAsia="en-US"/>
    </w:rPr>
  </w:style>
  <w:style w:type="character" w:customStyle="1" w:styleId="BodyTextChar0">
    <w:name w:val="BodyText Char"/>
    <w:basedOn w:val="DefaultParagraphFont"/>
    <w:link w:val="BodyText0"/>
    <w:locked/>
    <w:rsid w:val="00F609CC"/>
    <w:rPr>
      <w:rFonts w:ascii="Verdana" w:eastAsia="PMingLiU" w:hAnsi="Verdana" w:cs="Arial"/>
      <w:bCs/>
      <w:sz w:val="18"/>
      <w:szCs w:val="18"/>
      <w:lang w:val="en-GB" w:eastAsia="en-US"/>
    </w:rPr>
  </w:style>
  <w:style w:type="paragraph" w:customStyle="1" w:styleId="BodyTextbold">
    <w:name w:val="BodyText bold"/>
    <w:basedOn w:val="BodyText0"/>
    <w:next w:val="BodyText0"/>
    <w:uiPriority w:val="99"/>
    <w:rsid w:val="00F609CC"/>
    <w:pPr>
      <w:spacing w:after="60"/>
    </w:pPr>
    <w:rPr>
      <w:rFonts w:cs="Arial Bold"/>
      <w:b/>
    </w:rPr>
  </w:style>
  <w:style w:type="paragraph" w:styleId="EndnoteText">
    <w:name w:val="endnote text"/>
    <w:basedOn w:val="Normal"/>
    <w:link w:val="EndnoteTextChar"/>
    <w:uiPriority w:val="99"/>
    <w:rsid w:val="00F609CC"/>
    <w:pPr>
      <w:spacing w:before="120" w:after="0" w:line="320" w:lineRule="exact"/>
    </w:pPr>
    <w:rPr>
      <w:rFonts w:eastAsia="PMingLiU" w:cs="Arial"/>
      <w:szCs w:val="20"/>
      <w:lang w:val="en-GB" w:eastAsia="zh-TW"/>
    </w:rPr>
  </w:style>
  <w:style w:type="character" w:customStyle="1" w:styleId="EndnoteTextChar">
    <w:name w:val="Endnote Text Char"/>
    <w:basedOn w:val="DefaultParagraphFont"/>
    <w:link w:val="EndnoteText"/>
    <w:uiPriority w:val="99"/>
    <w:rsid w:val="00F609CC"/>
    <w:rPr>
      <w:rFonts w:ascii="Arial" w:eastAsia="PMingLiU" w:hAnsi="Arial" w:cs="Arial"/>
      <w:lang w:val="en-GB" w:eastAsia="zh-TW"/>
    </w:rPr>
  </w:style>
  <w:style w:type="paragraph" w:styleId="Index1">
    <w:name w:val="index 1"/>
    <w:basedOn w:val="BodyText0"/>
    <w:next w:val="BodyText0"/>
    <w:uiPriority w:val="99"/>
    <w:rsid w:val="00F609CC"/>
    <w:pPr>
      <w:tabs>
        <w:tab w:val="right" w:pos="8789"/>
      </w:tabs>
      <w:spacing w:before="0"/>
      <w:ind w:right="284"/>
      <w:jc w:val="left"/>
    </w:pPr>
  </w:style>
  <w:style w:type="paragraph" w:customStyle="1" w:styleId="Heading1Unnumbered">
    <w:name w:val="Heading_1 Unnumbered"/>
    <w:basedOn w:val="Heading1"/>
    <w:next w:val="BodyText0"/>
    <w:uiPriority w:val="99"/>
    <w:rsid w:val="00F609CC"/>
    <w:pPr>
      <w:numPr>
        <w:numId w:val="0"/>
      </w:numPr>
      <w:spacing w:before="0" w:after="360" w:line="360" w:lineRule="exact"/>
      <w:jc w:val="left"/>
    </w:pPr>
    <w:rPr>
      <w:rFonts w:ascii="Verdana" w:eastAsia="PMingLiU" w:hAnsi="Verdana" w:cs="Arial"/>
      <w:b/>
      <w:bCs/>
      <w:color w:val="000000"/>
      <w:sz w:val="24"/>
      <w:szCs w:val="30"/>
      <w:lang w:val="en-GB" w:eastAsia="en-US"/>
    </w:rPr>
  </w:style>
  <w:style w:type="paragraph" w:customStyle="1" w:styleId="BodyTextBulleted">
    <w:name w:val="BodyText Bulleted"/>
    <w:basedOn w:val="BodyText0"/>
    <w:uiPriority w:val="99"/>
    <w:rsid w:val="00F609CC"/>
    <w:pPr>
      <w:numPr>
        <w:numId w:val="13"/>
      </w:numPr>
      <w:tabs>
        <w:tab w:val="clear" w:pos="284"/>
      </w:tabs>
      <w:ind w:left="720" w:hanging="360"/>
      <w:jc w:val="left"/>
    </w:pPr>
  </w:style>
  <w:style w:type="paragraph" w:customStyle="1" w:styleId="BodyTextNumbered">
    <w:name w:val="BodyText Numbered"/>
    <w:basedOn w:val="BodyText0"/>
    <w:uiPriority w:val="99"/>
    <w:rsid w:val="00F609CC"/>
    <w:pPr>
      <w:numPr>
        <w:numId w:val="14"/>
      </w:numPr>
      <w:tabs>
        <w:tab w:val="clear" w:pos="284"/>
      </w:tabs>
      <w:ind w:left="720" w:hanging="360"/>
    </w:pPr>
  </w:style>
  <w:style w:type="paragraph" w:customStyle="1" w:styleId="Contents">
    <w:name w:val="Contents"/>
    <w:next w:val="BodyText0"/>
    <w:uiPriority w:val="99"/>
    <w:semiHidden/>
    <w:rsid w:val="00F609CC"/>
    <w:pPr>
      <w:pageBreakBefore/>
      <w:spacing w:after="360"/>
    </w:pPr>
    <w:rPr>
      <w:rFonts w:ascii="Arial" w:eastAsia="PMingLiU" w:hAnsi="Arial" w:cs="Arial"/>
      <w:sz w:val="90"/>
      <w:szCs w:val="90"/>
      <w:lang w:val="fr-FR" w:eastAsia="en-US"/>
    </w:rPr>
  </w:style>
  <w:style w:type="paragraph" w:customStyle="1" w:styleId="Picture">
    <w:name w:val="Picture"/>
    <w:next w:val="Caption"/>
    <w:uiPriority w:val="99"/>
    <w:rsid w:val="00F609CC"/>
    <w:pPr>
      <w:keepNext/>
      <w:spacing w:before="120"/>
      <w:jc w:val="center"/>
    </w:pPr>
    <w:rPr>
      <w:rFonts w:ascii="Arial" w:eastAsia="PMingLiU" w:hAnsi="Arial" w:cs="Arial"/>
      <w:bCs/>
      <w:spacing w:val="8"/>
      <w:sz w:val="22"/>
      <w:szCs w:val="18"/>
      <w:lang w:val="en-GB" w:eastAsia="en-US"/>
    </w:rPr>
  </w:style>
  <w:style w:type="paragraph" w:customStyle="1" w:styleId="Sub-title">
    <w:name w:val="Sub-title..."/>
    <w:next w:val="BodyText0"/>
    <w:uiPriority w:val="99"/>
    <w:rsid w:val="00F609CC"/>
    <w:pPr>
      <w:spacing w:after="240" w:line="400" w:lineRule="exact"/>
      <w:ind w:left="-567"/>
    </w:pPr>
    <w:rPr>
      <w:rFonts w:ascii="Arial" w:eastAsia="PMingLiU" w:hAnsi="Arial" w:cs="Arial"/>
      <w:b/>
      <w:bCs/>
      <w:spacing w:val="8"/>
      <w:sz w:val="36"/>
      <w:szCs w:val="36"/>
      <w:lang w:val="en-GB" w:eastAsia="en-US"/>
    </w:rPr>
  </w:style>
  <w:style w:type="paragraph" w:customStyle="1" w:styleId="Title0">
    <w:name w:val="Title..."/>
    <w:next w:val="BodyText0"/>
    <w:uiPriority w:val="99"/>
    <w:rsid w:val="00F609CC"/>
    <w:pPr>
      <w:spacing w:before="3000" w:after="120" w:line="400" w:lineRule="exact"/>
      <w:ind w:left="-567"/>
    </w:pPr>
    <w:rPr>
      <w:rFonts w:ascii="Arial" w:eastAsia="PMingLiU" w:hAnsi="Arial" w:cs="Arial"/>
      <w:b/>
      <w:bCs/>
      <w:kern w:val="28"/>
      <w:sz w:val="36"/>
      <w:szCs w:val="36"/>
      <w:lang w:val="en-GB" w:eastAsia="en-US"/>
    </w:rPr>
  </w:style>
  <w:style w:type="paragraph" w:customStyle="1" w:styleId="HeaderKapitel">
    <w:name w:val="Header Kapitel"/>
    <w:basedOn w:val="Header"/>
    <w:uiPriority w:val="99"/>
    <w:semiHidden/>
    <w:rsid w:val="00F609CC"/>
    <w:pPr>
      <w:tabs>
        <w:tab w:val="clear" w:pos="4536"/>
        <w:tab w:val="clear" w:pos="9072"/>
      </w:tabs>
      <w:spacing w:before="0" w:after="0" w:line="240" w:lineRule="auto"/>
      <w:jc w:val="right"/>
    </w:pPr>
    <w:rPr>
      <w:rFonts w:eastAsia="PMingLiU" w:cs="Arial"/>
      <w:color w:val="8D979B"/>
      <w:sz w:val="15"/>
      <w:szCs w:val="15"/>
      <w:lang w:val="en-GB" w:eastAsia="zh-TW"/>
    </w:rPr>
  </w:style>
  <w:style w:type="paragraph" w:customStyle="1" w:styleId="TableBulleted">
    <w:name w:val="Table Bulleted"/>
    <w:basedOn w:val="Normal"/>
    <w:uiPriority w:val="99"/>
    <w:semiHidden/>
    <w:rsid w:val="00F609CC"/>
    <w:pPr>
      <w:numPr>
        <w:numId w:val="15"/>
      </w:numPr>
      <w:spacing w:before="120" w:after="0" w:line="280" w:lineRule="exact"/>
    </w:pPr>
    <w:rPr>
      <w:rFonts w:eastAsia="PMingLiU" w:cs="Arial"/>
      <w:sz w:val="18"/>
      <w:szCs w:val="18"/>
      <w:lang w:val="en-GB" w:eastAsia="en-US"/>
    </w:rPr>
  </w:style>
  <w:style w:type="paragraph" w:customStyle="1" w:styleId="AppendixHeading10">
    <w:name w:val="Appendix Heading 1"/>
    <w:basedOn w:val="Heading2"/>
    <w:uiPriority w:val="99"/>
    <w:rsid w:val="00F609CC"/>
    <w:pPr>
      <w:numPr>
        <w:ilvl w:val="0"/>
        <w:numId w:val="0"/>
      </w:numPr>
      <w:spacing w:line="320" w:lineRule="exact"/>
      <w:jc w:val="left"/>
    </w:pPr>
    <w:rPr>
      <w:rFonts w:ascii="Verdana" w:eastAsia="PMingLiU" w:hAnsi="Verdana" w:cs="Arial Bold"/>
      <w:b/>
      <w:caps w:val="0"/>
      <w:color w:val="000000"/>
      <w:sz w:val="22"/>
      <w:szCs w:val="22"/>
      <w:lang w:val="en-GB" w:eastAsia="en-US"/>
    </w:rPr>
  </w:style>
  <w:style w:type="paragraph" w:styleId="TableofFigures">
    <w:name w:val="table of figures"/>
    <w:basedOn w:val="BodyText0"/>
    <w:next w:val="BodyText0"/>
    <w:uiPriority w:val="99"/>
    <w:rsid w:val="00F609CC"/>
    <w:pPr>
      <w:tabs>
        <w:tab w:val="left" w:pos="1134"/>
        <w:tab w:val="right" w:pos="8789"/>
      </w:tabs>
      <w:spacing w:after="120"/>
      <w:ind w:left="1134" w:right="284" w:hanging="1134"/>
    </w:pPr>
    <w:rPr>
      <w:noProof/>
      <w:sz w:val="22"/>
      <w:szCs w:val="22"/>
    </w:rPr>
  </w:style>
  <w:style w:type="paragraph" w:customStyle="1" w:styleId="AppendixHeading20">
    <w:name w:val="Appendix Heading 2"/>
    <w:basedOn w:val="Heading3"/>
    <w:next w:val="BodyText0"/>
    <w:uiPriority w:val="99"/>
    <w:rsid w:val="00F609CC"/>
    <w:pPr>
      <w:numPr>
        <w:ilvl w:val="0"/>
        <w:numId w:val="0"/>
      </w:numPr>
      <w:spacing w:before="120" w:line="320" w:lineRule="exact"/>
      <w:jc w:val="left"/>
    </w:pPr>
    <w:rPr>
      <w:rFonts w:eastAsia="PMingLiU" w:cs="Arial Bold"/>
      <w:b/>
      <w:bCs/>
      <w:caps w:val="0"/>
      <w:color w:val="000000"/>
      <w:sz w:val="18"/>
      <w:szCs w:val="18"/>
      <w:lang w:val="en-GB" w:eastAsia="en-US"/>
    </w:rPr>
  </w:style>
  <w:style w:type="paragraph" w:customStyle="1" w:styleId="AppendixHeading">
    <w:name w:val="Appendix Heading"/>
    <w:basedOn w:val="Heading1"/>
    <w:next w:val="BodyText0"/>
    <w:uiPriority w:val="99"/>
    <w:rsid w:val="00F609CC"/>
    <w:pPr>
      <w:numPr>
        <w:numId w:val="16"/>
      </w:numPr>
      <w:spacing w:before="0" w:after="360" w:line="360" w:lineRule="exact"/>
      <w:ind w:left="0"/>
      <w:jc w:val="left"/>
    </w:pPr>
    <w:rPr>
      <w:rFonts w:ascii="Verdana" w:eastAsia="PMingLiU" w:hAnsi="Verdana" w:cs="Arial"/>
      <w:b/>
      <w:bCs/>
      <w:color w:val="000000"/>
      <w:sz w:val="24"/>
      <w:szCs w:val="30"/>
      <w:lang w:val="en-GB" w:eastAsia="en-US"/>
    </w:rPr>
  </w:style>
  <w:style w:type="paragraph" w:customStyle="1" w:styleId="Backovercaptions">
    <w:name w:val="Backover captions"/>
    <w:basedOn w:val="BodyText0"/>
    <w:next w:val="BodyText0"/>
    <w:uiPriority w:val="99"/>
    <w:semiHidden/>
    <w:rsid w:val="00F609CC"/>
    <w:pPr>
      <w:spacing w:line="200" w:lineRule="exact"/>
      <w:jc w:val="left"/>
    </w:pPr>
    <w:rPr>
      <w:color w:val="FFFFFF"/>
      <w:sz w:val="15"/>
      <w:szCs w:val="15"/>
    </w:rPr>
  </w:style>
  <w:style w:type="paragraph" w:customStyle="1" w:styleId="Backovercontacts">
    <w:name w:val="Backover contacts"/>
    <w:next w:val="BodyText0"/>
    <w:uiPriority w:val="99"/>
    <w:semiHidden/>
    <w:rsid w:val="00F609CC"/>
    <w:pPr>
      <w:framePr w:hSpace="142" w:wrap="around" w:vAnchor="page" w:hAnchor="text" w:x="-566" w:y="2382"/>
      <w:spacing w:after="80"/>
    </w:pPr>
    <w:rPr>
      <w:rFonts w:ascii="Arial Bold" w:eastAsia="PMingLiU" w:hAnsi="Arial Bold" w:cs="Arial Bold"/>
      <w:b/>
      <w:color w:val="8D979B"/>
      <w:sz w:val="15"/>
      <w:szCs w:val="15"/>
      <w:lang w:val="en-US" w:eastAsia="en-US"/>
    </w:rPr>
  </w:style>
  <w:style w:type="paragraph" w:customStyle="1" w:styleId="Backoverinformation">
    <w:name w:val="Backover information"/>
    <w:next w:val="BodyText0"/>
    <w:uiPriority w:val="99"/>
    <w:semiHidden/>
    <w:rsid w:val="00F609CC"/>
    <w:pPr>
      <w:framePr w:hSpace="142" w:wrap="around" w:vAnchor="page" w:hAnchor="text" w:x="-566" w:y="2382"/>
      <w:spacing w:line="200" w:lineRule="exact"/>
    </w:pPr>
    <w:rPr>
      <w:rFonts w:ascii="Arial" w:eastAsia="PMingLiU" w:hAnsi="Arial" w:cs="Arial"/>
      <w:sz w:val="14"/>
      <w:szCs w:val="15"/>
      <w:lang w:val="en-US" w:eastAsia="en-US"/>
    </w:rPr>
  </w:style>
  <w:style w:type="paragraph" w:customStyle="1" w:styleId="boilerplate">
    <w:name w:val="boilerplate"/>
    <w:uiPriority w:val="99"/>
    <w:semiHidden/>
    <w:rsid w:val="00F609CC"/>
    <w:pPr>
      <w:spacing w:line="200" w:lineRule="exact"/>
      <w:jc w:val="both"/>
    </w:pPr>
    <w:rPr>
      <w:rFonts w:ascii="Arial" w:eastAsia="PMingLiU" w:hAnsi="Arial" w:cs="Arial"/>
      <w:spacing w:val="8"/>
      <w:sz w:val="14"/>
      <w:szCs w:val="18"/>
      <w:lang w:val="en-GB" w:eastAsia="en-US"/>
    </w:rPr>
  </w:style>
  <w:style w:type="paragraph" w:customStyle="1" w:styleId="TabHeading">
    <w:name w:val="Tab Heading"/>
    <w:basedOn w:val="BodyText0"/>
    <w:uiPriority w:val="99"/>
    <w:rsid w:val="00F609CC"/>
    <w:pPr>
      <w:keepNext/>
      <w:spacing w:before="0"/>
    </w:pPr>
    <w:rPr>
      <w:rFonts w:cs="Arial Bold"/>
      <w:b/>
    </w:rPr>
  </w:style>
  <w:style w:type="paragraph" w:customStyle="1" w:styleId="TabText">
    <w:name w:val="Tab Text"/>
    <w:basedOn w:val="BodyText0"/>
    <w:link w:val="TabTextChar"/>
    <w:uiPriority w:val="99"/>
    <w:rsid w:val="00F609CC"/>
    <w:pPr>
      <w:spacing w:before="0"/>
      <w:jc w:val="left"/>
    </w:pPr>
  </w:style>
  <w:style w:type="character" w:customStyle="1" w:styleId="TabTextChar">
    <w:name w:val="Tab Text Char"/>
    <w:basedOn w:val="BodyTextChar0"/>
    <w:link w:val="TabText"/>
    <w:uiPriority w:val="99"/>
    <w:locked/>
    <w:rsid w:val="00F609CC"/>
    <w:rPr>
      <w:rFonts w:ascii="Verdana" w:eastAsia="PMingLiU" w:hAnsi="Verdana" w:cs="Arial"/>
      <w:bCs/>
      <w:sz w:val="18"/>
      <w:szCs w:val="18"/>
      <w:lang w:val="en-GB" w:eastAsia="en-US"/>
    </w:rPr>
  </w:style>
  <w:style w:type="paragraph" w:styleId="IndexHeading">
    <w:name w:val="index heading"/>
    <w:basedOn w:val="BodyText0"/>
    <w:next w:val="BodyText0"/>
    <w:uiPriority w:val="99"/>
    <w:rsid w:val="00F609CC"/>
    <w:pPr>
      <w:jc w:val="left"/>
    </w:pPr>
    <w:rPr>
      <w:b/>
      <w:bCs w:val="0"/>
    </w:rPr>
  </w:style>
  <w:style w:type="paragraph" w:customStyle="1" w:styleId="DocumentType">
    <w:name w:val="Document Type"/>
    <w:basedOn w:val="BodyText0"/>
    <w:next w:val="BodyText0"/>
    <w:uiPriority w:val="99"/>
    <w:rsid w:val="00F609CC"/>
    <w:pPr>
      <w:spacing w:before="0"/>
      <w:ind w:left="-567"/>
    </w:pPr>
    <w:rPr>
      <w:sz w:val="22"/>
      <w:szCs w:val="22"/>
    </w:rPr>
  </w:style>
  <w:style w:type="paragraph" w:styleId="Index2">
    <w:name w:val="index 2"/>
    <w:basedOn w:val="BodyText0"/>
    <w:next w:val="BodyText0"/>
    <w:uiPriority w:val="99"/>
    <w:rsid w:val="00F609CC"/>
    <w:pPr>
      <w:tabs>
        <w:tab w:val="right" w:pos="8789"/>
      </w:tabs>
      <w:spacing w:before="0"/>
      <w:ind w:left="170" w:right="284"/>
    </w:pPr>
  </w:style>
  <w:style w:type="table" w:customStyle="1" w:styleId="TableLogica">
    <w:name w:val="Table Logica"/>
    <w:uiPriority w:val="99"/>
    <w:rsid w:val="00F609CC"/>
    <w:rPr>
      <w:rFonts w:ascii="Arial" w:eastAsia="PMingLiU" w:hAnsi="Arial"/>
    </w:rPr>
    <w:tblPr>
      <w:tblInd w:w="0" w:type="dxa"/>
      <w:tblBorders>
        <w:top w:val="single" w:sz="12" w:space="0" w:color="FFCC00"/>
        <w:bottom w:val="single" w:sz="4" w:space="0" w:color="auto"/>
        <w:insideH w:val="single" w:sz="4" w:space="0" w:color="auto"/>
      </w:tblBorders>
      <w:tblCellMar>
        <w:top w:w="0" w:type="dxa"/>
        <w:left w:w="0" w:type="dxa"/>
        <w:bottom w:w="57" w:type="dxa"/>
        <w:right w:w="57" w:type="dxa"/>
      </w:tblCellMar>
    </w:tblPr>
  </w:style>
  <w:style w:type="character" w:styleId="HTMLAcronym">
    <w:name w:val="HTML Acronym"/>
    <w:basedOn w:val="DefaultParagraphFont"/>
    <w:uiPriority w:val="99"/>
    <w:rsid w:val="00F609CC"/>
    <w:rPr>
      <w:rFonts w:cs="Times New Roman"/>
      <w:lang w:val="en-GB"/>
    </w:rPr>
  </w:style>
  <w:style w:type="character" w:styleId="HTMLCite">
    <w:name w:val="HTML Cite"/>
    <w:basedOn w:val="DefaultParagraphFont"/>
    <w:uiPriority w:val="99"/>
    <w:rsid w:val="00F609CC"/>
    <w:rPr>
      <w:rFonts w:cs="Times New Roman"/>
      <w:i/>
      <w:iCs/>
      <w:lang w:val="en-GB"/>
    </w:rPr>
  </w:style>
  <w:style w:type="character" w:styleId="HTMLCode">
    <w:name w:val="HTML Code"/>
    <w:basedOn w:val="DefaultParagraphFont"/>
    <w:uiPriority w:val="99"/>
    <w:rsid w:val="00F609CC"/>
    <w:rPr>
      <w:rFonts w:ascii="Courier New" w:hAnsi="Courier New" w:cs="Courier New"/>
      <w:sz w:val="20"/>
      <w:szCs w:val="20"/>
      <w:lang w:val="en-GB"/>
    </w:rPr>
  </w:style>
  <w:style w:type="character" w:styleId="HTMLDefinition">
    <w:name w:val="HTML Definition"/>
    <w:basedOn w:val="DefaultParagraphFont"/>
    <w:uiPriority w:val="99"/>
    <w:rsid w:val="00F609CC"/>
    <w:rPr>
      <w:rFonts w:cs="Times New Roman"/>
      <w:i/>
      <w:iCs/>
      <w:lang w:val="en-GB"/>
    </w:rPr>
  </w:style>
  <w:style w:type="character" w:styleId="HTMLKeyboard">
    <w:name w:val="HTML Keyboard"/>
    <w:basedOn w:val="DefaultParagraphFont"/>
    <w:uiPriority w:val="99"/>
    <w:rsid w:val="00F609CC"/>
    <w:rPr>
      <w:rFonts w:ascii="Courier New" w:hAnsi="Courier New" w:cs="Courier New"/>
      <w:sz w:val="20"/>
      <w:szCs w:val="20"/>
      <w:lang w:val="en-GB"/>
    </w:rPr>
  </w:style>
  <w:style w:type="character" w:styleId="HTMLSample">
    <w:name w:val="HTML Sample"/>
    <w:basedOn w:val="DefaultParagraphFont"/>
    <w:uiPriority w:val="99"/>
    <w:rsid w:val="00F609CC"/>
    <w:rPr>
      <w:rFonts w:ascii="Courier New" w:hAnsi="Courier New" w:cs="Courier New"/>
      <w:lang w:val="en-GB"/>
    </w:rPr>
  </w:style>
  <w:style w:type="character" w:styleId="HTMLVariable">
    <w:name w:val="HTML Variable"/>
    <w:basedOn w:val="DefaultParagraphFont"/>
    <w:uiPriority w:val="99"/>
    <w:rsid w:val="00F609CC"/>
    <w:rPr>
      <w:rFonts w:cs="Times New Roman"/>
      <w:i/>
      <w:iCs/>
      <w:lang w:val="en-GB"/>
    </w:rPr>
  </w:style>
  <w:style w:type="character" w:styleId="LineNumber">
    <w:name w:val="line number"/>
    <w:basedOn w:val="DefaultParagraphFont"/>
    <w:uiPriority w:val="99"/>
    <w:rsid w:val="00F609CC"/>
    <w:rPr>
      <w:rFonts w:cs="Times New Roman"/>
      <w:lang w:val="en-GB"/>
    </w:rPr>
  </w:style>
  <w:style w:type="paragraph" w:customStyle="1" w:styleId="SectionNumber">
    <w:name w:val="Section Number"/>
    <w:next w:val="BodyText0"/>
    <w:uiPriority w:val="99"/>
    <w:rsid w:val="00F609CC"/>
    <w:pPr>
      <w:framePr w:w="4583" w:h="5093" w:hRule="exact" w:hSpace="57" w:wrap="notBeside" w:vAnchor="page" w:hAnchor="page" w:x="6181" w:y="10774" w:anchorLock="1"/>
      <w:pBdr>
        <w:top w:val="single" w:sz="6" w:space="4" w:color="FFFFFF"/>
        <w:left w:val="single" w:sz="6" w:space="7" w:color="FFFFFF"/>
        <w:bottom w:val="single" w:sz="6" w:space="4" w:color="FFFFFF"/>
        <w:right w:val="single" w:sz="6" w:space="7" w:color="FFFFFF"/>
      </w:pBdr>
      <w:jc w:val="right"/>
    </w:pPr>
    <w:rPr>
      <w:rFonts w:ascii="Arial" w:eastAsia="PMingLiU" w:hAnsi="Arial"/>
      <w:b/>
      <w:bCs/>
      <w:color w:val="8D979B"/>
      <w:sz w:val="500"/>
      <w:szCs w:val="500"/>
      <w:lang w:val="en-GB" w:eastAsia="en-US"/>
    </w:rPr>
  </w:style>
  <w:style w:type="paragraph" w:customStyle="1" w:styleId="SectionTitle">
    <w:name w:val="Section Title"/>
    <w:next w:val="BodyText0"/>
    <w:link w:val="SectionTitleChar"/>
    <w:uiPriority w:val="99"/>
    <w:rsid w:val="00F609CC"/>
    <w:pPr>
      <w:pageBreakBefore/>
      <w:spacing w:before="480"/>
    </w:pPr>
    <w:rPr>
      <w:rFonts w:ascii="Arial" w:eastAsia="PMingLiU" w:hAnsi="Arial" w:cs="Arial"/>
      <w:sz w:val="90"/>
      <w:szCs w:val="90"/>
      <w:lang w:val="en-GB" w:eastAsia="en-US"/>
    </w:rPr>
  </w:style>
  <w:style w:type="character" w:customStyle="1" w:styleId="SectionTitleChar">
    <w:name w:val="Section Title Char"/>
    <w:basedOn w:val="DefaultParagraphFont"/>
    <w:link w:val="SectionTitle"/>
    <w:uiPriority w:val="99"/>
    <w:locked/>
    <w:rsid w:val="00F609CC"/>
    <w:rPr>
      <w:rFonts w:ascii="Arial" w:eastAsia="PMingLiU" w:hAnsi="Arial" w:cs="Arial"/>
      <w:sz w:val="90"/>
      <w:szCs w:val="90"/>
      <w:lang w:val="en-GB" w:eastAsia="en-US"/>
    </w:rPr>
  </w:style>
  <w:style w:type="paragraph" w:customStyle="1" w:styleId="SectionPage7pt">
    <w:name w:val="SectionPage 7pt"/>
    <w:basedOn w:val="Normal"/>
    <w:next w:val="BodyText0"/>
    <w:uiPriority w:val="99"/>
    <w:rsid w:val="00F609CC"/>
    <w:pPr>
      <w:framePr w:w="3397" w:h="1213" w:hRule="exact" w:hSpace="180" w:wrap="around" w:vAnchor="text" w:hAnchor="page" w:x="3240" w:y="10554"/>
      <w:spacing w:before="0" w:after="0" w:line="200" w:lineRule="exact"/>
      <w:jc w:val="right"/>
    </w:pPr>
    <w:rPr>
      <w:rFonts w:eastAsia="PMingLiU" w:cs="Arial"/>
      <w:color w:val="8D979B"/>
      <w:sz w:val="14"/>
      <w:szCs w:val="14"/>
      <w:lang w:val="en-GB" w:eastAsia="zh-TW"/>
    </w:rPr>
  </w:style>
  <w:style w:type="paragraph" w:styleId="NormalIndent">
    <w:name w:val="Normal Indent"/>
    <w:basedOn w:val="Normal"/>
    <w:uiPriority w:val="99"/>
    <w:rsid w:val="00F609CC"/>
    <w:pPr>
      <w:overflowPunct w:val="0"/>
      <w:autoSpaceDE w:val="0"/>
      <w:autoSpaceDN w:val="0"/>
      <w:adjustRightInd w:val="0"/>
      <w:spacing w:before="120" w:line="240" w:lineRule="auto"/>
      <w:ind w:left="708"/>
      <w:jc w:val="left"/>
      <w:textAlignment w:val="baseline"/>
    </w:pPr>
    <w:rPr>
      <w:rFonts w:ascii="Times New Roman" w:eastAsia="PMingLiU" w:hAnsi="Times New Roman"/>
      <w:sz w:val="22"/>
      <w:szCs w:val="20"/>
      <w:lang w:val="cs-CZ" w:eastAsia="en-US"/>
    </w:rPr>
  </w:style>
  <w:style w:type="paragraph" w:customStyle="1" w:styleId="Backovercompany">
    <w:name w:val="Backover company"/>
    <w:basedOn w:val="Backoverinformation"/>
    <w:uiPriority w:val="99"/>
    <w:semiHidden/>
    <w:rsid w:val="00F609CC"/>
    <w:pPr>
      <w:framePr w:wrap="around"/>
    </w:pPr>
  </w:style>
  <w:style w:type="paragraph" w:customStyle="1" w:styleId="Nadpis">
    <w:name w:val="Nadpis"/>
    <w:basedOn w:val="Normal"/>
    <w:rsid w:val="00F609CC"/>
    <w:pPr>
      <w:overflowPunct w:val="0"/>
      <w:autoSpaceDE w:val="0"/>
      <w:autoSpaceDN w:val="0"/>
      <w:adjustRightInd w:val="0"/>
      <w:spacing w:before="120" w:after="0" w:line="240" w:lineRule="auto"/>
      <w:jc w:val="right"/>
      <w:textAlignment w:val="baseline"/>
    </w:pPr>
    <w:rPr>
      <w:rFonts w:eastAsia="PMingLiU" w:cs="Arial"/>
      <w:b/>
      <w:bCs/>
      <w:sz w:val="44"/>
      <w:lang w:eastAsia="en-US"/>
    </w:rPr>
  </w:style>
  <w:style w:type="paragraph" w:styleId="DocumentMap">
    <w:name w:val="Document Map"/>
    <w:basedOn w:val="Normal"/>
    <w:link w:val="DocumentMapChar"/>
    <w:rsid w:val="00F609CC"/>
    <w:pPr>
      <w:spacing w:before="120" w:after="0" w:line="320" w:lineRule="exact"/>
    </w:pPr>
    <w:rPr>
      <w:rFonts w:ascii="Tahoma" w:eastAsia="PMingLiU" w:hAnsi="Tahoma" w:cs="Tahoma"/>
      <w:sz w:val="16"/>
      <w:szCs w:val="16"/>
      <w:lang w:val="en-GB" w:eastAsia="zh-TW"/>
    </w:rPr>
  </w:style>
  <w:style w:type="character" w:customStyle="1" w:styleId="DocumentMapChar">
    <w:name w:val="Document Map Char"/>
    <w:basedOn w:val="DefaultParagraphFont"/>
    <w:link w:val="DocumentMap"/>
    <w:rsid w:val="00F609CC"/>
    <w:rPr>
      <w:rFonts w:ascii="Tahoma" w:eastAsia="PMingLiU" w:hAnsi="Tahoma" w:cs="Tahoma"/>
      <w:sz w:val="16"/>
      <w:szCs w:val="16"/>
      <w:lang w:val="en-GB" w:eastAsia="zh-TW"/>
    </w:rPr>
  </w:style>
  <w:style w:type="paragraph" w:customStyle="1" w:styleId="Q09Textbullet1">
    <w:name w:val="Q_09_Text_bullet1"/>
    <w:basedOn w:val="Normal"/>
    <w:qFormat/>
    <w:rsid w:val="00F609CC"/>
    <w:pPr>
      <w:numPr>
        <w:numId w:val="17"/>
      </w:numPr>
      <w:tabs>
        <w:tab w:val="right" w:pos="8280"/>
      </w:tabs>
      <w:spacing w:before="0" w:line="240" w:lineRule="auto"/>
    </w:pPr>
    <w:rPr>
      <w:rFonts w:ascii="Tahoma" w:hAnsi="Tahoma" w:cs="Tahoma"/>
      <w:sz w:val="18"/>
      <w:szCs w:val="22"/>
      <w:lang w:eastAsia="en-US"/>
    </w:rPr>
  </w:style>
  <w:style w:type="paragraph" w:customStyle="1" w:styleId="Q10Textbullet2">
    <w:name w:val="Q_10_Text_bullet2"/>
    <w:basedOn w:val="Normal"/>
    <w:qFormat/>
    <w:rsid w:val="00F609CC"/>
    <w:pPr>
      <w:numPr>
        <w:ilvl w:val="1"/>
        <w:numId w:val="17"/>
      </w:numPr>
      <w:tabs>
        <w:tab w:val="right" w:pos="8280"/>
      </w:tabs>
      <w:spacing w:before="0" w:line="240" w:lineRule="auto"/>
    </w:pPr>
    <w:rPr>
      <w:rFonts w:ascii="Tahoma" w:hAnsi="Tahoma" w:cs="Tahoma"/>
      <w:sz w:val="18"/>
      <w:szCs w:val="22"/>
      <w:lang w:eastAsia="en-US"/>
    </w:rPr>
  </w:style>
  <w:style w:type="paragraph" w:customStyle="1" w:styleId="LOGContentsTitle">
    <w:name w:val="LOG_Contents Title"/>
    <w:basedOn w:val="Normal"/>
    <w:qFormat/>
    <w:rsid w:val="00F609CC"/>
    <w:pPr>
      <w:spacing w:before="0" w:after="320" w:line="400" w:lineRule="exact"/>
      <w:jc w:val="left"/>
    </w:pPr>
    <w:rPr>
      <w:rFonts w:ascii="Verdana" w:eastAsia="Calibri" w:hAnsi="Verdana"/>
      <w:caps/>
      <w:sz w:val="32"/>
      <w:szCs w:val="22"/>
      <w:lang w:val="en-GB" w:eastAsia="en-US"/>
    </w:rPr>
  </w:style>
  <w:style w:type="paragraph" w:styleId="PlainText">
    <w:name w:val="Plain Text"/>
    <w:basedOn w:val="Normal"/>
    <w:link w:val="PlainTextChar"/>
    <w:uiPriority w:val="99"/>
    <w:unhideWhenUsed/>
    <w:rsid w:val="00F609CC"/>
    <w:pPr>
      <w:spacing w:before="0" w:after="0" w:line="240" w:lineRule="auto"/>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609CC"/>
    <w:rPr>
      <w:rFonts w:ascii="Consolas" w:eastAsia="Calibri" w:hAnsi="Consolas"/>
      <w:sz w:val="21"/>
      <w:szCs w:val="21"/>
      <w:lang w:val="sk-SK" w:eastAsia="en-US"/>
    </w:rPr>
  </w:style>
  <w:style w:type="paragraph" w:customStyle="1" w:styleId="Heading4n">
    <w:name w:val="Heading 4n"/>
    <w:basedOn w:val="Heading4"/>
    <w:link w:val="Heading4nChar"/>
    <w:qFormat/>
    <w:rsid w:val="00F609CC"/>
    <w:pPr>
      <w:keepNext w:val="0"/>
      <w:numPr>
        <w:ilvl w:val="0"/>
        <w:numId w:val="0"/>
      </w:numPr>
      <w:spacing w:after="60" w:line="288" w:lineRule="auto"/>
      <w:jc w:val="left"/>
    </w:pPr>
    <w:rPr>
      <w:b/>
      <w:i w:val="0"/>
      <w:iCs/>
      <w:caps/>
      <w:color w:val="991F3D"/>
      <w:sz w:val="24"/>
      <w:szCs w:val="22"/>
      <w:lang w:eastAsia="en-US"/>
    </w:rPr>
  </w:style>
  <w:style w:type="character" w:customStyle="1" w:styleId="Heading4nChar">
    <w:name w:val="Heading 4n Char"/>
    <w:basedOn w:val="Heading4Char"/>
    <w:link w:val="Heading4n"/>
    <w:rsid w:val="00F609CC"/>
    <w:rPr>
      <w:rFonts w:ascii="Arial" w:hAnsi="Arial"/>
      <w:b/>
      <w:bCs/>
      <w:i w:val="0"/>
      <w:iCs/>
      <w:caps/>
      <w:color w:val="991F3D"/>
      <w:sz w:val="24"/>
      <w:szCs w:val="22"/>
      <w:lang w:val="sk-SK" w:eastAsia="en-US"/>
    </w:rPr>
  </w:style>
  <w:style w:type="paragraph" w:styleId="Subtitle">
    <w:name w:val="Subtitle"/>
    <w:basedOn w:val="Normal"/>
    <w:next w:val="Normal"/>
    <w:link w:val="SubtitleChar"/>
    <w:qFormat/>
    <w:rsid w:val="00F609CC"/>
    <w:pPr>
      <w:numPr>
        <w:ilvl w:val="1"/>
      </w:numPr>
      <w:spacing w:after="160"/>
    </w:pPr>
    <w:rPr>
      <w:b/>
      <w:iCs/>
      <w:color w:val="363534"/>
      <w:sz w:val="22"/>
      <w:lang w:val="en-US" w:eastAsia="en-US"/>
    </w:rPr>
  </w:style>
  <w:style w:type="character" w:customStyle="1" w:styleId="SubtitleChar1">
    <w:name w:val="Subtitle Char1"/>
    <w:basedOn w:val="DefaultParagraphFont"/>
    <w:rsid w:val="00F609CC"/>
    <w:rPr>
      <w:rFonts w:asciiTheme="minorHAnsi" w:eastAsiaTheme="minorEastAsia" w:hAnsiTheme="minorHAnsi" w:cstheme="minorBidi"/>
      <w:color w:val="5A5A5A" w:themeColor="text1" w:themeTint="A5"/>
      <w:spacing w:val="15"/>
      <w:sz w:val="22"/>
      <w:szCs w:val="22"/>
      <w:lang w:val="sk-SK"/>
    </w:rPr>
  </w:style>
  <w:style w:type="paragraph" w:styleId="Quote">
    <w:name w:val="Quote"/>
    <w:basedOn w:val="Normal"/>
    <w:next w:val="Normal"/>
    <w:link w:val="QuoteChar"/>
    <w:uiPriority w:val="2"/>
    <w:qFormat/>
    <w:rsid w:val="00F609CC"/>
    <w:pPr>
      <w:spacing w:before="200" w:after="160"/>
      <w:ind w:left="864" w:right="864"/>
      <w:jc w:val="center"/>
    </w:pPr>
    <w:rPr>
      <w:i/>
      <w:iCs/>
      <w:color w:val="991F3D"/>
      <w:sz w:val="28"/>
      <w:szCs w:val="22"/>
      <w:lang w:val="en-US" w:eastAsia="en-US"/>
    </w:rPr>
  </w:style>
  <w:style w:type="character" w:customStyle="1" w:styleId="QuoteChar1">
    <w:name w:val="Quote Char1"/>
    <w:basedOn w:val="DefaultParagraphFont"/>
    <w:uiPriority w:val="29"/>
    <w:rsid w:val="00F609CC"/>
    <w:rPr>
      <w:rFonts w:ascii="Arial" w:hAnsi="Arial"/>
      <w:i/>
      <w:iCs/>
      <w:color w:val="404040" w:themeColor="text1" w:themeTint="BF"/>
      <w:szCs w:val="24"/>
      <w:lang w:val="sk-SK"/>
    </w:rPr>
  </w:style>
  <w:style w:type="table" w:styleId="LightShading-Accent2">
    <w:name w:val="Light Shading Accent 2"/>
    <w:basedOn w:val="TableNormal"/>
    <w:uiPriority w:val="60"/>
    <w:semiHidden/>
    <w:unhideWhenUsed/>
    <w:rsid w:val="00F609C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msonormal0">
    <w:name w:val="msonormal"/>
    <w:basedOn w:val="Normal"/>
    <w:rsid w:val="00285AC6"/>
    <w:pPr>
      <w:spacing w:before="100" w:beforeAutospacing="1" w:after="100" w:afterAutospacing="1" w:line="240" w:lineRule="auto"/>
      <w:jc w:val="left"/>
    </w:pPr>
    <w:rPr>
      <w:rFonts w:ascii="Times New Roman" w:hAnsi="Times New Roman"/>
      <w:sz w:val="24"/>
      <w:lang w:val="cs-CZ"/>
    </w:rPr>
  </w:style>
  <w:style w:type="paragraph" w:customStyle="1" w:styleId="xl65">
    <w:name w:val="xl65"/>
    <w:basedOn w:val="Normal"/>
    <w:rsid w:val="00285AC6"/>
    <w:pPr>
      <w:spacing w:before="100" w:beforeAutospacing="1" w:after="100" w:afterAutospacing="1" w:line="240" w:lineRule="auto"/>
      <w:jc w:val="left"/>
    </w:pPr>
    <w:rPr>
      <w:rFonts w:ascii="Times New Roman" w:hAnsi="Times New Roman"/>
      <w:sz w:val="24"/>
      <w:lang w:val="cs-CZ"/>
    </w:rPr>
  </w:style>
  <w:style w:type="paragraph" w:customStyle="1" w:styleId="xl66">
    <w:name w:val="xl66"/>
    <w:basedOn w:val="Normal"/>
    <w:rsid w:val="00285AC6"/>
    <w:pPr>
      <w:pBdr>
        <w:top w:val="single" w:sz="4" w:space="0" w:color="auto"/>
        <w:bottom w:val="single" w:sz="4" w:space="0" w:color="auto"/>
      </w:pBdr>
      <w:spacing w:before="100" w:beforeAutospacing="1" w:after="100" w:afterAutospacing="1" w:line="240" w:lineRule="auto"/>
      <w:jc w:val="left"/>
      <w:textAlignment w:val="center"/>
    </w:pPr>
    <w:rPr>
      <w:rFonts w:ascii="Arial Narrow" w:hAnsi="Arial Narrow"/>
      <w:sz w:val="16"/>
      <w:szCs w:val="16"/>
      <w:lang w:val="cs-CZ"/>
    </w:rPr>
  </w:style>
  <w:style w:type="paragraph" w:customStyle="1" w:styleId="xl67">
    <w:name w:val="xl67"/>
    <w:basedOn w:val="Normal"/>
    <w:rsid w:val="00285AC6"/>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sz w:val="16"/>
      <w:szCs w:val="16"/>
      <w:lang w:val="cs-CZ"/>
    </w:rPr>
  </w:style>
  <w:style w:type="paragraph" w:customStyle="1" w:styleId="xl68">
    <w:name w:val="xl68"/>
    <w:basedOn w:val="Normal"/>
    <w:rsid w:val="00285AC6"/>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sz w:val="16"/>
      <w:szCs w:val="16"/>
      <w:lang w:val="cs-CZ"/>
    </w:rPr>
  </w:style>
  <w:style w:type="paragraph" w:customStyle="1" w:styleId="xl69">
    <w:name w:val="xl69"/>
    <w:basedOn w:val="Normal"/>
    <w:rsid w:val="00285AC6"/>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cs-CZ"/>
    </w:rPr>
  </w:style>
  <w:style w:type="paragraph" w:customStyle="1" w:styleId="xl70">
    <w:name w:val="xl70"/>
    <w:basedOn w:val="Normal"/>
    <w:rsid w:val="00285AC6"/>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sz w:val="16"/>
      <w:szCs w:val="16"/>
      <w:lang w:val="cs-CZ"/>
    </w:rPr>
  </w:style>
  <w:style w:type="paragraph" w:customStyle="1" w:styleId="xl71">
    <w:name w:val="xl71"/>
    <w:basedOn w:val="Normal"/>
    <w:rsid w:val="00285AC6"/>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sz w:val="16"/>
      <w:szCs w:val="16"/>
      <w:lang w:val="cs-CZ"/>
    </w:rPr>
  </w:style>
  <w:style w:type="paragraph" w:customStyle="1" w:styleId="xl72">
    <w:name w:val="xl72"/>
    <w:basedOn w:val="Normal"/>
    <w:rsid w:val="00285AC6"/>
    <w:pPr>
      <w:spacing w:before="100" w:beforeAutospacing="1" w:after="100" w:afterAutospacing="1" w:line="240" w:lineRule="auto"/>
      <w:jc w:val="center"/>
    </w:pPr>
    <w:rPr>
      <w:rFonts w:ascii="Times New Roman" w:hAnsi="Times New Roman"/>
      <w:sz w:val="24"/>
      <w:lang w:val="cs-CZ"/>
    </w:rPr>
  </w:style>
  <w:style w:type="paragraph" w:customStyle="1" w:styleId="xl73">
    <w:name w:val="xl73"/>
    <w:basedOn w:val="Normal"/>
    <w:rsid w:val="00285AC6"/>
    <w:pPr>
      <w:pBdr>
        <w:top w:val="single" w:sz="4" w:space="0" w:color="auto"/>
        <w:bottom w:val="single" w:sz="4" w:space="0" w:color="auto"/>
      </w:pBdr>
      <w:shd w:val="clear" w:color="000000" w:fill="FFC000"/>
      <w:spacing w:before="100" w:beforeAutospacing="1" w:after="100" w:afterAutospacing="1" w:line="240" w:lineRule="auto"/>
      <w:jc w:val="left"/>
      <w:textAlignment w:val="center"/>
    </w:pPr>
    <w:rPr>
      <w:rFonts w:ascii="Arial Narrow" w:hAnsi="Arial Narrow"/>
      <w:sz w:val="16"/>
      <w:szCs w:val="16"/>
      <w:lang w:val="cs-CZ"/>
    </w:rPr>
  </w:style>
  <w:style w:type="paragraph" w:customStyle="1" w:styleId="xl74">
    <w:name w:val="xl74"/>
    <w:basedOn w:val="Normal"/>
    <w:rsid w:val="00285AC6"/>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Arial Narrow" w:hAnsi="Arial Narrow"/>
      <w:sz w:val="16"/>
      <w:szCs w:val="16"/>
      <w:lang w:val="cs-CZ"/>
    </w:rPr>
  </w:style>
  <w:style w:type="paragraph" w:customStyle="1" w:styleId="xl75">
    <w:name w:val="xl75"/>
    <w:basedOn w:val="Normal"/>
    <w:rsid w:val="00285AC6"/>
    <w:pPr>
      <w:pBdr>
        <w:top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Arial Narrow" w:hAnsi="Arial Narrow"/>
      <w:sz w:val="16"/>
      <w:szCs w:val="16"/>
      <w:lang w:val="cs-CZ"/>
    </w:rPr>
  </w:style>
  <w:style w:type="paragraph" w:customStyle="1" w:styleId="xl76">
    <w:name w:val="xl76"/>
    <w:basedOn w:val="Normal"/>
    <w:rsid w:val="00285AC6"/>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sz w:val="16"/>
      <w:szCs w:val="16"/>
      <w:lang w:val="cs-CZ"/>
    </w:rPr>
  </w:style>
  <w:style w:type="paragraph" w:customStyle="1" w:styleId="xl78">
    <w:name w:val="xl78"/>
    <w:basedOn w:val="Normal"/>
    <w:rsid w:val="00285AC6"/>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cs-CZ"/>
    </w:rPr>
  </w:style>
  <w:style w:type="character" w:customStyle="1" w:styleId="h1a">
    <w:name w:val="h1a"/>
    <w:basedOn w:val="DefaultParagraphFont"/>
    <w:rsid w:val="007E5F68"/>
  </w:style>
  <w:style w:type="paragraph" w:styleId="NormalWeb">
    <w:name w:val="Normal (Web)"/>
    <w:basedOn w:val="Normal"/>
    <w:uiPriority w:val="99"/>
    <w:unhideWhenUsed/>
    <w:rsid w:val="007E5F68"/>
    <w:pPr>
      <w:spacing w:before="100" w:beforeAutospacing="1" w:after="100" w:afterAutospacing="1" w:line="240" w:lineRule="auto"/>
      <w:jc w:val="left"/>
    </w:pPr>
    <w:rPr>
      <w:rFonts w:ascii="Times New Roman" w:hAnsi="Times New Roman"/>
      <w:sz w:val="24"/>
      <w:lang w:val="cs-CZ"/>
    </w:rPr>
  </w:style>
  <w:style w:type="paragraph" w:customStyle="1" w:styleId="Q14Tablevisiblen">
    <w:name w:val="Q_14_Table visible_n"/>
    <w:basedOn w:val="Normal"/>
    <w:next w:val="Normal"/>
    <w:qFormat/>
    <w:rsid w:val="00B64A44"/>
    <w:pPr>
      <w:spacing w:before="40" w:after="40" w:line="240" w:lineRule="auto"/>
    </w:pPr>
    <w:rPr>
      <w:rFonts w:ascii="Tahoma" w:hAnsi="Tahoma" w:cs="Tahoma"/>
      <w:sz w:val="18"/>
      <w:szCs w:val="22"/>
      <w:lang w:val="en-GB" w:eastAsia="en-US"/>
    </w:rPr>
  </w:style>
  <w:style w:type="character" w:customStyle="1" w:styleId="ListParagraphChar">
    <w:name w:val="List Paragraph Char"/>
    <w:aliases w:val="List Paragraph Head Char"/>
    <w:basedOn w:val="DefaultParagraphFont"/>
    <w:link w:val="ListParagraph"/>
    <w:uiPriority w:val="34"/>
    <w:rsid w:val="00B64A44"/>
    <w:rPr>
      <w:rFonts w:ascii="Arial" w:hAnsi="Arial" w:cs="Arial"/>
      <w:lang w:val="sk-SK"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971">
      <w:bodyDiv w:val="1"/>
      <w:marLeft w:val="0"/>
      <w:marRight w:val="0"/>
      <w:marTop w:val="0"/>
      <w:marBottom w:val="0"/>
      <w:divBdr>
        <w:top w:val="none" w:sz="0" w:space="0" w:color="auto"/>
        <w:left w:val="none" w:sz="0" w:space="0" w:color="auto"/>
        <w:bottom w:val="none" w:sz="0" w:space="0" w:color="auto"/>
        <w:right w:val="none" w:sz="0" w:space="0" w:color="auto"/>
      </w:divBdr>
    </w:div>
    <w:div w:id="30301179">
      <w:bodyDiv w:val="1"/>
      <w:marLeft w:val="0"/>
      <w:marRight w:val="0"/>
      <w:marTop w:val="0"/>
      <w:marBottom w:val="0"/>
      <w:divBdr>
        <w:top w:val="none" w:sz="0" w:space="0" w:color="auto"/>
        <w:left w:val="none" w:sz="0" w:space="0" w:color="auto"/>
        <w:bottom w:val="none" w:sz="0" w:space="0" w:color="auto"/>
        <w:right w:val="none" w:sz="0" w:space="0" w:color="auto"/>
      </w:divBdr>
    </w:div>
    <w:div w:id="32928361">
      <w:bodyDiv w:val="1"/>
      <w:marLeft w:val="0"/>
      <w:marRight w:val="0"/>
      <w:marTop w:val="0"/>
      <w:marBottom w:val="0"/>
      <w:divBdr>
        <w:top w:val="none" w:sz="0" w:space="0" w:color="auto"/>
        <w:left w:val="none" w:sz="0" w:space="0" w:color="auto"/>
        <w:bottom w:val="none" w:sz="0" w:space="0" w:color="auto"/>
        <w:right w:val="none" w:sz="0" w:space="0" w:color="auto"/>
      </w:divBdr>
    </w:div>
    <w:div w:id="56587327">
      <w:bodyDiv w:val="1"/>
      <w:marLeft w:val="0"/>
      <w:marRight w:val="0"/>
      <w:marTop w:val="0"/>
      <w:marBottom w:val="0"/>
      <w:divBdr>
        <w:top w:val="none" w:sz="0" w:space="0" w:color="auto"/>
        <w:left w:val="none" w:sz="0" w:space="0" w:color="auto"/>
        <w:bottom w:val="none" w:sz="0" w:space="0" w:color="auto"/>
        <w:right w:val="none" w:sz="0" w:space="0" w:color="auto"/>
      </w:divBdr>
    </w:div>
    <w:div w:id="64688335">
      <w:bodyDiv w:val="1"/>
      <w:marLeft w:val="0"/>
      <w:marRight w:val="0"/>
      <w:marTop w:val="0"/>
      <w:marBottom w:val="0"/>
      <w:divBdr>
        <w:top w:val="none" w:sz="0" w:space="0" w:color="auto"/>
        <w:left w:val="none" w:sz="0" w:space="0" w:color="auto"/>
        <w:bottom w:val="none" w:sz="0" w:space="0" w:color="auto"/>
        <w:right w:val="none" w:sz="0" w:space="0" w:color="auto"/>
      </w:divBdr>
    </w:div>
    <w:div w:id="80951324">
      <w:bodyDiv w:val="1"/>
      <w:marLeft w:val="0"/>
      <w:marRight w:val="0"/>
      <w:marTop w:val="0"/>
      <w:marBottom w:val="0"/>
      <w:divBdr>
        <w:top w:val="none" w:sz="0" w:space="0" w:color="auto"/>
        <w:left w:val="none" w:sz="0" w:space="0" w:color="auto"/>
        <w:bottom w:val="none" w:sz="0" w:space="0" w:color="auto"/>
        <w:right w:val="none" w:sz="0" w:space="0" w:color="auto"/>
      </w:divBdr>
    </w:div>
    <w:div w:id="85614617">
      <w:bodyDiv w:val="1"/>
      <w:marLeft w:val="0"/>
      <w:marRight w:val="0"/>
      <w:marTop w:val="0"/>
      <w:marBottom w:val="0"/>
      <w:divBdr>
        <w:top w:val="none" w:sz="0" w:space="0" w:color="auto"/>
        <w:left w:val="none" w:sz="0" w:space="0" w:color="auto"/>
        <w:bottom w:val="none" w:sz="0" w:space="0" w:color="auto"/>
        <w:right w:val="none" w:sz="0" w:space="0" w:color="auto"/>
      </w:divBdr>
    </w:div>
    <w:div w:id="85738538">
      <w:bodyDiv w:val="1"/>
      <w:marLeft w:val="0"/>
      <w:marRight w:val="0"/>
      <w:marTop w:val="0"/>
      <w:marBottom w:val="0"/>
      <w:divBdr>
        <w:top w:val="none" w:sz="0" w:space="0" w:color="auto"/>
        <w:left w:val="none" w:sz="0" w:space="0" w:color="auto"/>
        <w:bottom w:val="none" w:sz="0" w:space="0" w:color="auto"/>
        <w:right w:val="none" w:sz="0" w:space="0" w:color="auto"/>
      </w:divBdr>
    </w:div>
    <w:div w:id="97214127">
      <w:bodyDiv w:val="1"/>
      <w:marLeft w:val="0"/>
      <w:marRight w:val="0"/>
      <w:marTop w:val="0"/>
      <w:marBottom w:val="0"/>
      <w:divBdr>
        <w:top w:val="none" w:sz="0" w:space="0" w:color="auto"/>
        <w:left w:val="none" w:sz="0" w:space="0" w:color="auto"/>
        <w:bottom w:val="none" w:sz="0" w:space="0" w:color="auto"/>
        <w:right w:val="none" w:sz="0" w:space="0" w:color="auto"/>
      </w:divBdr>
    </w:div>
    <w:div w:id="114101480">
      <w:bodyDiv w:val="1"/>
      <w:marLeft w:val="0"/>
      <w:marRight w:val="0"/>
      <w:marTop w:val="0"/>
      <w:marBottom w:val="0"/>
      <w:divBdr>
        <w:top w:val="none" w:sz="0" w:space="0" w:color="auto"/>
        <w:left w:val="none" w:sz="0" w:space="0" w:color="auto"/>
        <w:bottom w:val="none" w:sz="0" w:space="0" w:color="auto"/>
        <w:right w:val="none" w:sz="0" w:space="0" w:color="auto"/>
      </w:divBdr>
    </w:div>
    <w:div w:id="119956123">
      <w:bodyDiv w:val="1"/>
      <w:marLeft w:val="0"/>
      <w:marRight w:val="0"/>
      <w:marTop w:val="0"/>
      <w:marBottom w:val="0"/>
      <w:divBdr>
        <w:top w:val="none" w:sz="0" w:space="0" w:color="auto"/>
        <w:left w:val="none" w:sz="0" w:space="0" w:color="auto"/>
        <w:bottom w:val="none" w:sz="0" w:space="0" w:color="auto"/>
        <w:right w:val="none" w:sz="0" w:space="0" w:color="auto"/>
      </w:divBdr>
    </w:div>
    <w:div w:id="126171809">
      <w:bodyDiv w:val="1"/>
      <w:marLeft w:val="0"/>
      <w:marRight w:val="0"/>
      <w:marTop w:val="0"/>
      <w:marBottom w:val="0"/>
      <w:divBdr>
        <w:top w:val="none" w:sz="0" w:space="0" w:color="auto"/>
        <w:left w:val="none" w:sz="0" w:space="0" w:color="auto"/>
        <w:bottom w:val="none" w:sz="0" w:space="0" w:color="auto"/>
        <w:right w:val="none" w:sz="0" w:space="0" w:color="auto"/>
      </w:divBdr>
    </w:div>
    <w:div w:id="134219766">
      <w:bodyDiv w:val="1"/>
      <w:marLeft w:val="0"/>
      <w:marRight w:val="0"/>
      <w:marTop w:val="0"/>
      <w:marBottom w:val="0"/>
      <w:divBdr>
        <w:top w:val="none" w:sz="0" w:space="0" w:color="auto"/>
        <w:left w:val="none" w:sz="0" w:space="0" w:color="auto"/>
        <w:bottom w:val="none" w:sz="0" w:space="0" w:color="auto"/>
        <w:right w:val="none" w:sz="0" w:space="0" w:color="auto"/>
      </w:divBdr>
    </w:div>
    <w:div w:id="142743587">
      <w:bodyDiv w:val="1"/>
      <w:marLeft w:val="0"/>
      <w:marRight w:val="0"/>
      <w:marTop w:val="0"/>
      <w:marBottom w:val="0"/>
      <w:divBdr>
        <w:top w:val="none" w:sz="0" w:space="0" w:color="auto"/>
        <w:left w:val="none" w:sz="0" w:space="0" w:color="auto"/>
        <w:bottom w:val="none" w:sz="0" w:space="0" w:color="auto"/>
        <w:right w:val="none" w:sz="0" w:space="0" w:color="auto"/>
      </w:divBdr>
    </w:div>
    <w:div w:id="220099566">
      <w:bodyDiv w:val="1"/>
      <w:marLeft w:val="0"/>
      <w:marRight w:val="0"/>
      <w:marTop w:val="0"/>
      <w:marBottom w:val="0"/>
      <w:divBdr>
        <w:top w:val="none" w:sz="0" w:space="0" w:color="auto"/>
        <w:left w:val="none" w:sz="0" w:space="0" w:color="auto"/>
        <w:bottom w:val="none" w:sz="0" w:space="0" w:color="auto"/>
        <w:right w:val="none" w:sz="0" w:space="0" w:color="auto"/>
      </w:divBdr>
    </w:div>
    <w:div w:id="262148475">
      <w:bodyDiv w:val="1"/>
      <w:marLeft w:val="0"/>
      <w:marRight w:val="0"/>
      <w:marTop w:val="0"/>
      <w:marBottom w:val="0"/>
      <w:divBdr>
        <w:top w:val="none" w:sz="0" w:space="0" w:color="auto"/>
        <w:left w:val="none" w:sz="0" w:space="0" w:color="auto"/>
        <w:bottom w:val="none" w:sz="0" w:space="0" w:color="auto"/>
        <w:right w:val="none" w:sz="0" w:space="0" w:color="auto"/>
      </w:divBdr>
    </w:div>
    <w:div w:id="283537010">
      <w:bodyDiv w:val="1"/>
      <w:marLeft w:val="0"/>
      <w:marRight w:val="0"/>
      <w:marTop w:val="0"/>
      <w:marBottom w:val="0"/>
      <w:divBdr>
        <w:top w:val="none" w:sz="0" w:space="0" w:color="auto"/>
        <w:left w:val="none" w:sz="0" w:space="0" w:color="auto"/>
        <w:bottom w:val="none" w:sz="0" w:space="0" w:color="auto"/>
        <w:right w:val="none" w:sz="0" w:space="0" w:color="auto"/>
      </w:divBdr>
    </w:div>
    <w:div w:id="289433836">
      <w:bodyDiv w:val="1"/>
      <w:marLeft w:val="0"/>
      <w:marRight w:val="0"/>
      <w:marTop w:val="0"/>
      <w:marBottom w:val="0"/>
      <w:divBdr>
        <w:top w:val="none" w:sz="0" w:space="0" w:color="auto"/>
        <w:left w:val="none" w:sz="0" w:space="0" w:color="auto"/>
        <w:bottom w:val="none" w:sz="0" w:space="0" w:color="auto"/>
        <w:right w:val="none" w:sz="0" w:space="0" w:color="auto"/>
      </w:divBdr>
    </w:div>
    <w:div w:id="330372644">
      <w:bodyDiv w:val="1"/>
      <w:marLeft w:val="0"/>
      <w:marRight w:val="0"/>
      <w:marTop w:val="0"/>
      <w:marBottom w:val="0"/>
      <w:divBdr>
        <w:top w:val="none" w:sz="0" w:space="0" w:color="auto"/>
        <w:left w:val="none" w:sz="0" w:space="0" w:color="auto"/>
        <w:bottom w:val="none" w:sz="0" w:space="0" w:color="auto"/>
        <w:right w:val="none" w:sz="0" w:space="0" w:color="auto"/>
      </w:divBdr>
    </w:div>
    <w:div w:id="339813859">
      <w:bodyDiv w:val="1"/>
      <w:marLeft w:val="0"/>
      <w:marRight w:val="0"/>
      <w:marTop w:val="0"/>
      <w:marBottom w:val="0"/>
      <w:divBdr>
        <w:top w:val="none" w:sz="0" w:space="0" w:color="auto"/>
        <w:left w:val="none" w:sz="0" w:space="0" w:color="auto"/>
        <w:bottom w:val="none" w:sz="0" w:space="0" w:color="auto"/>
        <w:right w:val="none" w:sz="0" w:space="0" w:color="auto"/>
      </w:divBdr>
    </w:div>
    <w:div w:id="345331944">
      <w:bodyDiv w:val="1"/>
      <w:marLeft w:val="0"/>
      <w:marRight w:val="0"/>
      <w:marTop w:val="0"/>
      <w:marBottom w:val="0"/>
      <w:divBdr>
        <w:top w:val="none" w:sz="0" w:space="0" w:color="auto"/>
        <w:left w:val="none" w:sz="0" w:space="0" w:color="auto"/>
        <w:bottom w:val="none" w:sz="0" w:space="0" w:color="auto"/>
        <w:right w:val="none" w:sz="0" w:space="0" w:color="auto"/>
      </w:divBdr>
    </w:div>
    <w:div w:id="363362535">
      <w:bodyDiv w:val="1"/>
      <w:marLeft w:val="0"/>
      <w:marRight w:val="0"/>
      <w:marTop w:val="0"/>
      <w:marBottom w:val="0"/>
      <w:divBdr>
        <w:top w:val="none" w:sz="0" w:space="0" w:color="auto"/>
        <w:left w:val="none" w:sz="0" w:space="0" w:color="auto"/>
        <w:bottom w:val="none" w:sz="0" w:space="0" w:color="auto"/>
        <w:right w:val="none" w:sz="0" w:space="0" w:color="auto"/>
      </w:divBdr>
    </w:div>
    <w:div w:id="377749636">
      <w:bodyDiv w:val="1"/>
      <w:marLeft w:val="0"/>
      <w:marRight w:val="0"/>
      <w:marTop w:val="0"/>
      <w:marBottom w:val="0"/>
      <w:divBdr>
        <w:top w:val="none" w:sz="0" w:space="0" w:color="auto"/>
        <w:left w:val="none" w:sz="0" w:space="0" w:color="auto"/>
        <w:bottom w:val="none" w:sz="0" w:space="0" w:color="auto"/>
        <w:right w:val="none" w:sz="0" w:space="0" w:color="auto"/>
      </w:divBdr>
    </w:div>
    <w:div w:id="392123501">
      <w:bodyDiv w:val="1"/>
      <w:marLeft w:val="0"/>
      <w:marRight w:val="0"/>
      <w:marTop w:val="0"/>
      <w:marBottom w:val="0"/>
      <w:divBdr>
        <w:top w:val="none" w:sz="0" w:space="0" w:color="auto"/>
        <w:left w:val="none" w:sz="0" w:space="0" w:color="auto"/>
        <w:bottom w:val="none" w:sz="0" w:space="0" w:color="auto"/>
        <w:right w:val="none" w:sz="0" w:space="0" w:color="auto"/>
      </w:divBdr>
    </w:div>
    <w:div w:id="408816278">
      <w:bodyDiv w:val="1"/>
      <w:marLeft w:val="0"/>
      <w:marRight w:val="0"/>
      <w:marTop w:val="0"/>
      <w:marBottom w:val="0"/>
      <w:divBdr>
        <w:top w:val="none" w:sz="0" w:space="0" w:color="auto"/>
        <w:left w:val="none" w:sz="0" w:space="0" w:color="auto"/>
        <w:bottom w:val="none" w:sz="0" w:space="0" w:color="auto"/>
        <w:right w:val="none" w:sz="0" w:space="0" w:color="auto"/>
      </w:divBdr>
    </w:div>
    <w:div w:id="410584454">
      <w:bodyDiv w:val="1"/>
      <w:marLeft w:val="0"/>
      <w:marRight w:val="0"/>
      <w:marTop w:val="0"/>
      <w:marBottom w:val="0"/>
      <w:divBdr>
        <w:top w:val="none" w:sz="0" w:space="0" w:color="auto"/>
        <w:left w:val="none" w:sz="0" w:space="0" w:color="auto"/>
        <w:bottom w:val="none" w:sz="0" w:space="0" w:color="auto"/>
        <w:right w:val="none" w:sz="0" w:space="0" w:color="auto"/>
      </w:divBdr>
    </w:div>
    <w:div w:id="433405925">
      <w:bodyDiv w:val="1"/>
      <w:marLeft w:val="0"/>
      <w:marRight w:val="0"/>
      <w:marTop w:val="0"/>
      <w:marBottom w:val="0"/>
      <w:divBdr>
        <w:top w:val="none" w:sz="0" w:space="0" w:color="auto"/>
        <w:left w:val="none" w:sz="0" w:space="0" w:color="auto"/>
        <w:bottom w:val="none" w:sz="0" w:space="0" w:color="auto"/>
        <w:right w:val="none" w:sz="0" w:space="0" w:color="auto"/>
      </w:divBdr>
    </w:div>
    <w:div w:id="455685071">
      <w:bodyDiv w:val="1"/>
      <w:marLeft w:val="0"/>
      <w:marRight w:val="0"/>
      <w:marTop w:val="0"/>
      <w:marBottom w:val="0"/>
      <w:divBdr>
        <w:top w:val="none" w:sz="0" w:space="0" w:color="auto"/>
        <w:left w:val="none" w:sz="0" w:space="0" w:color="auto"/>
        <w:bottom w:val="none" w:sz="0" w:space="0" w:color="auto"/>
        <w:right w:val="none" w:sz="0" w:space="0" w:color="auto"/>
      </w:divBdr>
    </w:div>
    <w:div w:id="468863913">
      <w:bodyDiv w:val="1"/>
      <w:marLeft w:val="0"/>
      <w:marRight w:val="0"/>
      <w:marTop w:val="0"/>
      <w:marBottom w:val="0"/>
      <w:divBdr>
        <w:top w:val="none" w:sz="0" w:space="0" w:color="auto"/>
        <w:left w:val="none" w:sz="0" w:space="0" w:color="auto"/>
        <w:bottom w:val="none" w:sz="0" w:space="0" w:color="auto"/>
        <w:right w:val="none" w:sz="0" w:space="0" w:color="auto"/>
      </w:divBdr>
    </w:div>
    <w:div w:id="483661024">
      <w:bodyDiv w:val="1"/>
      <w:marLeft w:val="0"/>
      <w:marRight w:val="0"/>
      <w:marTop w:val="0"/>
      <w:marBottom w:val="0"/>
      <w:divBdr>
        <w:top w:val="none" w:sz="0" w:space="0" w:color="auto"/>
        <w:left w:val="none" w:sz="0" w:space="0" w:color="auto"/>
        <w:bottom w:val="none" w:sz="0" w:space="0" w:color="auto"/>
        <w:right w:val="none" w:sz="0" w:space="0" w:color="auto"/>
      </w:divBdr>
    </w:div>
    <w:div w:id="517043192">
      <w:bodyDiv w:val="1"/>
      <w:marLeft w:val="0"/>
      <w:marRight w:val="0"/>
      <w:marTop w:val="0"/>
      <w:marBottom w:val="0"/>
      <w:divBdr>
        <w:top w:val="none" w:sz="0" w:space="0" w:color="auto"/>
        <w:left w:val="none" w:sz="0" w:space="0" w:color="auto"/>
        <w:bottom w:val="none" w:sz="0" w:space="0" w:color="auto"/>
        <w:right w:val="none" w:sz="0" w:space="0" w:color="auto"/>
      </w:divBdr>
    </w:div>
    <w:div w:id="535848942">
      <w:bodyDiv w:val="1"/>
      <w:marLeft w:val="0"/>
      <w:marRight w:val="0"/>
      <w:marTop w:val="0"/>
      <w:marBottom w:val="0"/>
      <w:divBdr>
        <w:top w:val="none" w:sz="0" w:space="0" w:color="auto"/>
        <w:left w:val="none" w:sz="0" w:space="0" w:color="auto"/>
        <w:bottom w:val="none" w:sz="0" w:space="0" w:color="auto"/>
        <w:right w:val="none" w:sz="0" w:space="0" w:color="auto"/>
      </w:divBdr>
    </w:div>
    <w:div w:id="544488824">
      <w:bodyDiv w:val="1"/>
      <w:marLeft w:val="0"/>
      <w:marRight w:val="0"/>
      <w:marTop w:val="0"/>
      <w:marBottom w:val="0"/>
      <w:divBdr>
        <w:top w:val="none" w:sz="0" w:space="0" w:color="auto"/>
        <w:left w:val="none" w:sz="0" w:space="0" w:color="auto"/>
        <w:bottom w:val="none" w:sz="0" w:space="0" w:color="auto"/>
        <w:right w:val="none" w:sz="0" w:space="0" w:color="auto"/>
      </w:divBdr>
    </w:div>
    <w:div w:id="552272205">
      <w:bodyDiv w:val="1"/>
      <w:marLeft w:val="0"/>
      <w:marRight w:val="0"/>
      <w:marTop w:val="0"/>
      <w:marBottom w:val="0"/>
      <w:divBdr>
        <w:top w:val="none" w:sz="0" w:space="0" w:color="auto"/>
        <w:left w:val="none" w:sz="0" w:space="0" w:color="auto"/>
        <w:bottom w:val="none" w:sz="0" w:space="0" w:color="auto"/>
        <w:right w:val="none" w:sz="0" w:space="0" w:color="auto"/>
      </w:divBdr>
    </w:div>
    <w:div w:id="562717068">
      <w:bodyDiv w:val="1"/>
      <w:marLeft w:val="0"/>
      <w:marRight w:val="0"/>
      <w:marTop w:val="0"/>
      <w:marBottom w:val="0"/>
      <w:divBdr>
        <w:top w:val="none" w:sz="0" w:space="0" w:color="auto"/>
        <w:left w:val="none" w:sz="0" w:space="0" w:color="auto"/>
        <w:bottom w:val="none" w:sz="0" w:space="0" w:color="auto"/>
        <w:right w:val="none" w:sz="0" w:space="0" w:color="auto"/>
      </w:divBdr>
    </w:div>
    <w:div w:id="594828235">
      <w:bodyDiv w:val="1"/>
      <w:marLeft w:val="0"/>
      <w:marRight w:val="0"/>
      <w:marTop w:val="0"/>
      <w:marBottom w:val="0"/>
      <w:divBdr>
        <w:top w:val="none" w:sz="0" w:space="0" w:color="auto"/>
        <w:left w:val="none" w:sz="0" w:space="0" w:color="auto"/>
        <w:bottom w:val="none" w:sz="0" w:space="0" w:color="auto"/>
        <w:right w:val="none" w:sz="0" w:space="0" w:color="auto"/>
      </w:divBdr>
    </w:div>
    <w:div w:id="595212341">
      <w:bodyDiv w:val="1"/>
      <w:marLeft w:val="0"/>
      <w:marRight w:val="0"/>
      <w:marTop w:val="0"/>
      <w:marBottom w:val="0"/>
      <w:divBdr>
        <w:top w:val="none" w:sz="0" w:space="0" w:color="auto"/>
        <w:left w:val="none" w:sz="0" w:space="0" w:color="auto"/>
        <w:bottom w:val="none" w:sz="0" w:space="0" w:color="auto"/>
        <w:right w:val="none" w:sz="0" w:space="0" w:color="auto"/>
      </w:divBdr>
    </w:div>
    <w:div w:id="596868334">
      <w:bodyDiv w:val="1"/>
      <w:marLeft w:val="0"/>
      <w:marRight w:val="0"/>
      <w:marTop w:val="0"/>
      <w:marBottom w:val="0"/>
      <w:divBdr>
        <w:top w:val="none" w:sz="0" w:space="0" w:color="auto"/>
        <w:left w:val="none" w:sz="0" w:space="0" w:color="auto"/>
        <w:bottom w:val="none" w:sz="0" w:space="0" w:color="auto"/>
        <w:right w:val="none" w:sz="0" w:space="0" w:color="auto"/>
      </w:divBdr>
    </w:div>
    <w:div w:id="612060809">
      <w:bodyDiv w:val="1"/>
      <w:marLeft w:val="0"/>
      <w:marRight w:val="0"/>
      <w:marTop w:val="0"/>
      <w:marBottom w:val="0"/>
      <w:divBdr>
        <w:top w:val="none" w:sz="0" w:space="0" w:color="auto"/>
        <w:left w:val="none" w:sz="0" w:space="0" w:color="auto"/>
        <w:bottom w:val="none" w:sz="0" w:space="0" w:color="auto"/>
        <w:right w:val="none" w:sz="0" w:space="0" w:color="auto"/>
      </w:divBdr>
    </w:div>
    <w:div w:id="627587683">
      <w:bodyDiv w:val="1"/>
      <w:marLeft w:val="0"/>
      <w:marRight w:val="0"/>
      <w:marTop w:val="0"/>
      <w:marBottom w:val="0"/>
      <w:divBdr>
        <w:top w:val="none" w:sz="0" w:space="0" w:color="auto"/>
        <w:left w:val="none" w:sz="0" w:space="0" w:color="auto"/>
        <w:bottom w:val="none" w:sz="0" w:space="0" w:color="auto"/>
        <w:right w:val="none" w:sz="0" w:space="0" w:color="auto"/>
      </w:divBdr>
    </w:div>
    <w:div w:id="632634019">
      <w:bodyDiv w:val="1"/>
      <w:marLeft w:val="0"/>
      <w:marRight w:val="0"/>
      <w:marTop w:val="0"/>
      <w:marBottom w:val="0"/>
      <w:divBdr>
        <w:top w:val="none" w:sz="0" w:space="0" w:color="auto"/>
        <w:left w:val="none" w:sz="0" w:space="0" w:color="auto"/>
        <w:bottom w:val="none" w:sz="0" w:space="0" w:color="auto"/>
        <w:right w:val="none" w:sz="0" w:space="0" w:color="auto"/>
      </w:divBdr>
    </w:div>
    <w:div w:id="635792738">
      <w:bodyDiv w:val="1"/>
      <w:marLeft w:val="0"/>
      <w:marRight w:val="0"/>
      <w:marTop w:val="0"/>
      <w:marBottom w:val="0"/>
      <w:divBdr>
        <w:top w:val="none" w:sz="0" w:space="0" w:color="auto"/>
        <w:left w:val="none" w:sz="0" w:space="0" w:color="auto"/>
        <w:bottom w:val="none" w:sz="0" w:space="0" w:color="auto"/>
        <w:right w:val="none" w:sz="0" w:space="0" w:color="auto"/>
      </w:divBdr>
    </w:div>
    <w:div w:id="636955436">
      <w:bodyDiv w:val="1"/>
      <w:marLeft w:val="0"/>
      <w:marRight w:val="0"/>
      <w:marTop w:val="0"/>
      <w:marBottom w:val="0"/>
      <w:divBdr>
        <w:top w:val="none" w:sz="0" w:space="0" w:color="auto"/>
        <w:left w:val="none" w:sz="0" w:space="0" w:color="auto"/>
        <w:bottom w:val="none" w:sz="0" w:space="0" w:color="auto"/>
        <w:right w:val="none" w:sz="0" w:space="0" w:color="auto"/>
      </w:divBdr>
    </w:div>
    <w:div w:id="651759348">
      <w:bodyDiv w:val="1"/>
      <w:marLeft w:val="0"/>
      <w:marRight w:val="0"/>
      <w:marTop w:val="0"/>
      <w:marBottom w:val="0"/>
      <w:divBdr>
        <w:top w:val="none" w:sz="0" w:space="0" w:color="auto"/>
        <w:left w:val="none" w:sz="0" w:space="0" w:color="auto"/>
        <w:bottom w:val="none" w:sz="0" w:space="0" w:color="auto"/>
        <w:right w:val="none" w:sz="0" w:space="0" w:color="auto"/>
      </w:divBdr>
    </w:div>
    <w:div w:id="664477651">
      <w:bodyDiv w:val="1"/>
      <w:marLeft w:val="0"/>
      <w:marRight w:val="0"/>
      <w:marTop w:val="0"/>
      <w:marBottom w:val="0"/>
      <w:divBdr>
        <w:top w:val="none" w:sz="0" w:space="0" w:color="auto"/>
        <w:left w:val="none" w:sz="0" w:space="0" w:color="auto"/>
        <w:bottom w:val="none" w:sz="0" w:space="0" w:color="auto"/>
        <w:right w:val="none" w:sz="0" w:space="0" w:color="auto"/>
      </w:divBdr>
    </w:div>
    <w:div w:id="687214107">
      <w:bodyDiv w:val="1"/>
      <w:marLeft w:val="0"/>
      <w:marRight w:val="0"/>
      <w:marTop w:val="0"/>
      <w:marBottom w:val="0"/>
      <w:divBdr>
        <w:top w:val="none" w:sz="0" w:space="0" w:color="auto"/>
        <w:left w:val="none" w:sz="0" w:space="0" w:color="auto"/>
        <w:bottom w:val="none" w:sz="0" w:space="0" w:color="auto"/>
        <w:right w:val="none" w:sz="0" w:space="0" w:color="auto"/>
      </w:divBdr>
    </w:div>
    <w:div w:id="692457852">
      <w:bodyDiv w:val="1"/>
      <w:marLeft w:val="0"/>
      <w:marRight w:val="0"/>
      <w:marTop w:val="0"/>
      <w:marBottom w:val="0"/>
      <w:divBdr>
        <w:top w:val="none" w:sz="0" w:space="0" w:color="auto"/>
        <w:left w:val="none" w:sz="0" w:space="0" w:color="auto"/>
        <w:bottom w:val="none" w:sz="0" w:space="0" w:color="auto"/>
        <w:right w:val="none" w:sz="0" w:space="0" w:color="auto"/>
      </w:divBdr>
    </w:div>
    <w:div w:id="766081742">
      <w:bodyDiv w:val="1"/>
      <w:marLeft w:val="0"/>
      <w:marRight w:val="0"/>
      <w:marTop w:val="0"/>
      <w:marBottom w:val="0"/>
      <w:divBdr>
        <w:top w:val="none" w:sz="0" w:space="0" w:color="auto"/>
        <w:left w:val="none" w:sz="0" w:space="0" w:color="auto"/>
        <w:bottom w:val="none" w:sz="0" w:space="0" w:color="auto"/>
        <w:right w:val="none" w:sz="0" w:space="0" w:color="auto"/>
      </w:divBdr>
    </w:div>
    <w:div w:id="788205770">
      <w:bodyDiv w:val="1"/>
      <w:marLeft w:val="0"/>
      <w:marRight w:val="0"/>
      <w:marTop w:val="0"/>
      <w:marBottom w:val="0"/>
      <w:divBdr>
        <w:top w:val="none" w:sz="0" w:space="0" w:color="auto"/>
        <w:left w:val="none" w:sz="0" w:space="0" w:color="auto"/>
        <w:bottom w:val="none" w:sz="0" w:space="0" w:color="auto"/>
        <w:right w:val="none" w:sz="0" w:space="0" w:color="auto"/>
      </w:divBdr>
    </w:div>
    <w:div w:id="788665127">
      <w:bodyDiv w:val="1"/>
      <w:marLeft w:val="0"/>
      <w:marRight w:val="0"/>
      <w:marTop w:val="0"/>
      <w:marBottom w:val="0"/>
      <w:divBdr>
        <w:top w:val="none" w:sz="0" w:space="0" w:color="auto"/>
        <w:left w:val="none" w:sz="0" w:space="0" w:color="auto"/>
        <w:bottom w:val="none" w:sz="0" w:space="0" w:color="auto"/>
        <w:right w:val="none" w:sz="0" w:space="0" w:color="auto"/>
      </w:divBdr>
    </w:div>
    <w:div w:id="793670967">
      <w:bodyDiv w:val="1"/>
      <w:marLeft w:val="0"/>
      <w:marRight w:val="0"/>
      <w:marTop w:val="0"/>
      <w:marBottom w:val="0"/>
      <w:divBdr>
        <w:top w:val="none" w:sz="0" w:space="0" w:color="auto"/>
        <w:left w:val="none" w:sz="0" w:space="0" w:color="auto"/>
        <w:bottom w:val="none" w:sz="0" w:space="0" w:color="auto"/>
        <w:right w:val="none" w:sz="0" w:space="0" w:color="auto"/>
      </w:divBdr>
    </w:div>
    <w:div w:id="822504210">
      <w:bodyDiv w:val="1"/>
      <w:marLeft w:val="0"/>
      <w:marRight w:val="0"/>
      <w:marTop w:val="0"/>
      <w:marBottom w:val="0"/>
      <w:divBdr>
        <w:top w:val="none" w:sz="0" w:space="0" w:color="auto"/>
        <w:left w:val="none" w:sz="0" w:space="0" w:color="auto"/>
        <w:bottom w:val="none" w:sz="0" w:space="0" w:color="auto"/>
        <w:right w:val="none" w:sz="0" w:space="0" w:color="auto"/>
      </w:divBdr>
    </w:div>
    <w:div w:id="852837441">
      <w:bodyDiv w:val="1"/>
      <w:marLeft w:val="0"/>
      <w:marRight w:val="0"/>
      <w:marTop w:val="0"/>
      <w:marBottom w:val="0"/>
      <w:divBdr>
        <w:top w:val="none" w:sz="0" w:space="0" w:color="auto"/>
        <w:left w:val="none" w:sz="0" w:space="0" w:color="auto"/>
        <w:bottom w:val="none" w:sz="0" w:space="0" w:color="auto"/>
        <w:right w:val="none" w:sz="0" w:space="0" w:color="auto"/>
      </w:divBdr>
    </w:div>
    <w:div w:id="853114001">
      <w:bodyDiv w:val="1"/>
      <w:marLeft w:val="0"/>
      <w:marRight w:val="0"/>
      <w:marTop w:val="0"/>
      <w:marBottom w:val="0"/>
      <w:divBdr>
        <w:top w:val="none" w:sz="0" w:space="0" w:color="auto"/>
        <w:left w:val="none" w:sz="0" w:space="0" w:color="auto"/>
        <w:bottom w:val="none" w:sz="0" w:space="0" w:color="auto"/>
        <w:right w:val="none" w:sz="0" w:space="0" w:color="auto"/>
      </w:divBdr>
    </w:div>
    <w:div w:id="854154923">
      <w:bodyDiv w:val="1"/>
      <w:marLeft w:val="0"/>
      <w:marRight w:val="0"/>
      <w:marTop w:val="0"/>
      <w:marBottom w:val="0"/>
      <w:divBdr>
        <w:top w:val="none" w:sz="0" w:space="0" w:color="auto"/>
        <w:left w:val="none" w:sz="0" w:space="0" w:color="auto"/>
        <w:bottom w:val="none" w:sz="0" w:space="0" w:color="auto"/>
        <w:right w:val="none" w:sz="0" w:space="0" w:color="auto"/>
      </w:divBdr>
    </w:div>
    <w:div w:id="864170982">
      <w:bodyDiv w:val="1"/>
      <w:marLeft w:val="0"/>
      <w:marRight w:val="0"/>
      <w:marTop w:val="0"/>
      <w:marBottom w:val="0"/>
      <w:divBdr>
        <w:top w:val="none" w:sz="0" w:space="0" w:color="auto"/>
        <w:left w:val="none" w:sz="0" w:space="0" w:color="auto"/>
        <w:bottom w:val="none" w:sz="0" w:space="0" w:color="auto"/>
        <w:right w:val="none" w:sz="0" w:space="0" w:color="auto"/>
      </w:divBdr>
    </w:div>
    <w:div w:id="875506817">
      <w:bodyDiv w:val="1"/>
      <w:marLeft w:val="0"/>
      <w:marRight w:val="0"/>
      <w:marTop w:val="0"/>
      <w:marBottom w:val="0"/>
      <w:divBdr>
        <w:top w:val="none" w:sz="0" w:space="0" w:color="auto"/>
        <w:left w:val="none" w:sz="0" w:space="0" w:color="auto"/>
        <w:bottom w:val="none" w:sz="0" w:space="0" w:color="auto"/>
        <w:right w:val="none" w:sz="0" w:space="0" w:color="auto"/>
      </w:divBdr>
    </w:div>
    <w:div w:id="894900628">
      <w:bodyDiv w:val="1"/>
      <w:marLeft w:val="0"/>
      <w:marRight w:val="0"/>
      <w:marTop w:val="0"/>
      <w:marBottom w:val="0"/>
      <w:divBdr>
        <w:top w:val="none" w:sz="0" w:space="0" w:color="auto"/>
        <w:left w:val="none" w:sz="0" w:space="0" w:color="auto"/>
        <w:bottom w:val="none" w:sz="0" w:space="0" w:color="auto"/>
        <w:right w:val="none" w:sz="0" w:space="0" w:color="auto"/>
      </w:divBdr>
    </w:div>
    <w:div w:id="899748392">
      <w:bodyDiv w:val="1"/>
      <w:marLeft w:val="0"/>
      <w:marRight w:val="0"/>
      <w:marTop w:val="0"/>
      <w:marBottom w:val="0"/>
      <w:divBdr>
        <w:top w:val="none" w:sz="0" w:space="0" w:color="auto"/>
        <w:left w:val="none" w:sz="0" w:space="0" w:color="auto"/>
        <w:bottom w:val="none" w:sz="0" w:space="0" w:color="auto"/>
        <w:right w:val="none" w:sz="0" w:space="0" w:color="auto"/>
      </w:divBdr>
    </w:div>
    <w:div w:id="902300181">
      <w:bodyDiv w:val="1"/>
      <w:marLeft w:val="0"/>
      <w:marRight w:val="0"/>
      <w:marTop w:val="0"/>
      <w:marBottom w:val="0"/>
      <w:divBdr>
        <w:top w:val="none" w:sz="0" w:space="0" w:color="auto"/>
        <w:left w:val="none" w:sz="0" w:space="0" w:color="auto"/>
        <w:bottom w:val="none" w:sz="0" w:space="0" w:color="auto"/>
        <w:right w:val="none" w:sz="0" w:space="0" w:color="auto"/>
      </w:divBdr>
    </w:div>
    <w:div w:id="965237973">
      <w:bodyDiv w:val="1"/>
      <w:marLeft w:val="0"/>
      <w:marRight w:val="0"/>
      <w:marTop w:val="0"/>
      <w:marBottom w:val="0"/>
      <w:divBdr>
        <w:top w:val="none" w:sz="0" w:space="0" w:color="auto"/>
        <w:left w:val="none" w:sz="0" w:space="0" w:color="auto"/>
        <w:bottom w:val="none" w:sz="0" w:space="0" w:color="auto"/>
        <w:right w:val="none" w:sz="0" w:space="0" w:color="auto"/>
      </w:divBdr>
    </w:div>
    <w:div w:id="965508375">
      <w:bodyDiv w:val="1"/>
      <w:marLeft w:val="0"/>
      <w:marRight w:val="0"/>
      <w:marTop w:val="0"/>
      <w:marBottom w:val="0"/>
      <w:divBdr>
        <w:top w:val="none" w:sz="0" w:space="0" w:color="auto"/>
        <w:left w:val="none" w:sz="0" w:space="0" w:color="auto"/>
        <w:bottom w:val="none" w:sz="0" w:space="0" w:color="auto"/>
        <w:right w:val="none" w:sz="0" w:space="0" w:color="auto"/>
      </w:divBdr>
    </w:div>
    <w:div w:id="977883540">
      <w:bodyDiv w:val="1"/>
      <w:marLeft w:val="0"/>
      <w:marRight w:val="0"/>
      <w:marTop w:val="0"/>
      <w:marBottom w:val="0"/>
      <w:divBdr>
        <w:top w:val="none" w:sz="0" w:space="0" w:color="auto"/>
        <w:left w:val="none" w:sz="0" w:space="0" w:color="auto"/>
        <w:bottom w:val="none" w:sz="0" w:space="0" w:color="auto"/>
        <w:right w:val="none" w:sz="0" w:space="0" w:color="auto"/>
      </w:divBdr>
    </w:div>
    <w:div w:id="1031764129">
      <w:bodyDiv w:val="1"/>
      <w:marLeft w:val="0"/>
      <w:marRight w:val="0"/>
      <w:marTop w:val="0"/>
      <w:marBottom w:val="0"/>
      <w:divBdr>
        <w:top w:val="none" w:sz="0" w:space="0" w:color="auto"/>
        <w:left w:val="none" w:sz="0" w:space="0" w:color="auto"/>
        <w:bottom w:val="none" w:sz="0" w:space="0" w:color="auto"/>
        <w:right w:val="none" w:sz="0" w:space="0" w:color="auto"/>
      </w:divBdr>
    </w:div>
    <w:div w:id="1034647974">
      <w:bodyDiv w:val="1"/>
      <w:marLeft w:val="0"/>
      <w:marRight w:val="0"/>
      <w:marTop w:val="0"/>
      <w:marBottom w:val="0"/>
      <w:divBdr>
        <w:top w:val="none" w:sz="0" w:space="0" w:color="auto"/>
        <w:left w:val="none" w:sz="0" w:space="0" w:color="auto"/>
        <w:bottom w:val="none" w:sz="0" w:space="0" w:color="auto"/>
        <w:right w:val="none" w:sz="0" w:space="0" w:color="auto"/>
      </w:divBdr>
    </w:div>
    <w:div w:id="1056465883">
      <w:bodyDiv w:val="1"/>
      <w:marLeft w:val="0"/>
      <w:marRight w:val="0"/>
      <w:marTop w:val="0"/>
      <w:marBottom w:val="0"/>
      <w:divBdr>
        <w:top w:val="none" w:sz="0" w:space="0" w:color="auto"/>
        <w:left w:val="none" w:sz="0" w:space="0" w:color="auto"/>
        <w:bottom w:val="none" w:sz="0" w:space="0" w:color="auto"/>
        <w:right w:val="none" w:sz="0" w:space="0" w:color="auto"/>
      </w:divBdr>
    </w:div>
    <w:div w:id="1057701116">
      <w:bodyDiv w:val="1"/>
      <w:marLeft w:val="0"/>
      <w:marRight w:val="0"/>
      <w:marTop w:val="0"/>
      <w:marBottom w:val="0"/>
      <w:divBdr>
        <w:top w:val="none" w:sz="0" w:space="0" w:color="auto"/>
        <w:left w:val="none" w:sz="0" w:space="0" w:color="auto"/>
        <w:bottom w:val="none" w:sz="0" w:space="0" w:color="auto"/>
        <w:right w:val="none" w:sz="0" w:space="0" w:color="auto"/>
      </w:divBdr>
    </w:div>
    <w:div w:id="1069577380">
      <w:bodyDiv w:val="1"/>
      <w:marLeft w:val="0"/>
      <w:marRight w:val="0"/>
      <w:marTop w:val="0"/>
      <w:marBottom w:val="0"/>
      <w:divBdr>
        <w:top w:val="none" w:sz="0" w:space="0" w:color="auto"/>
        <w:left w:val="none" w:sz="0" w:space="0" w:color="auto"/>
        <w:bottom w:val="none" w:sz="0" w:space="0" w:color="auto"/>
        <w:right w:val="none" w:sz="0" w:space="0" w:color="auto"/>
      </w:divBdr>
    </w:div>
    <w:div w:id="1093285027">
      <w:bodyDiv w:val="1"/>
      <w:marLeft w:val="0"/>
      <w:marRight w:val="0"/>
      <w:marTop w:val="0"/>
      <w:marBottom w:val="0"/>
      <w:divBdr>
        <w:top w:val="none" w:sz="0" w:space="0" w:color="auto"/>
        <w:left w:val="none" w:sz="0" w:space="0" w:color="auto"/>
        <w:bottom w:val="none" w:sz="0" w:space="0" w:color="auto"/>
        <w:right w:val="none" w:sz="0" w:space="0" w:color="auto"/>
      </w:divBdr>
    </w:div>
    <w:div w:id="1185896702">
      <w:bodyDiv w:val="1"/>
      <w:marLeft w:val="0"/>
      <w:marRight w:val="0"/>
      <w:marTop w:val="0"/>
      <w:marBottom w:val="0"/>
      <w:divBdr>
        <w:top w:val="none" w:sz="0" w:space="0" w:color="auto"/>
        <w:left w:val="none" w:sz="0" w:space="0" w:color="auto"/>
        <w:bottom w:val="none" w:sz="0" w:space="0" w:color="auto"/>
        <w:right w:val="none" w:sz="0" w:space="0" w:color="auto"/>
      </w:divBdr>
    </w:div>
    <w:div w:id="1197963182">
      <w:bodyDiv w:val="1"/>
      <w:marLeft w:val="0"/>
      <w:marRight w:val="0"/>
      <w:marTop w:val="0"/>
      <w:marBottom w:val="0"/>
      <w:divBdr>
        <w:top w:val="none" w:sz="0" w:space="0" w:color="auto"/>
        <w:left w:val="none" w:sz="0" w:space="0" w:color="auto"/>
        <w:bottom w:val="none" w:sz="0" w:space="0" w:color="auto"/>
        <w:right w:val="none" w:sz="0" w:space="0" w:color="auto"/>
      </w:divBdr>
    </w:div>
    <w:div w:id="1216156762">
      <w:bodyDiv w:val="1"/>
      <w:marLeft w:val="0"/>
      <w:marRight w:val="0"/>
      <w:marTop w:val="0"/>
      <w:marBottom w:val="0"/>
      <w:divBdr>
        <w:top w:val="none" w:sz="0" w:space="0" w:color="auto"/>
        <w:left w:val="none" w:sz="0" w:space="0" w:color="auto"/>
        <w:bottom w:val="none" w:sz="0" w:space="0" w:color="auto"/>
        <w:right w:val="none" w:sz="0" w:space="0" w:color="auto"/>
      </w:divBdr>
    </w:div>
    <w:div w:id="1217083926">
      <w:bodyDiv w:val="1"/>
      <w:marLeft w:val="0"/>
      <w:marRight w:val="0"/>
      <w:marTop w:val="0"/>
      <w:marBottom w:val="0"/>
      <w:divBdr>
        <w:top w:val="none" w:sz="0" w:space="0" w:color="auto"/>
        <w:left w:val="none" w:sz="0" w:space="0" w:color="auto"/>
        <w:bottom w:val="none" w:sz="0" w:space="0" w:color="auto"/>
        <w:right w:val="none" w:sz="0" w:space="0" w:color="auto"/>
      </w:divBdr>
    </w:div>
    <w:div w:id="1247807026">
      <w:bodyDiv w:val="1"/>
      <w:marLeft w:val="0"/>
      <w:marRight w:val="0"/>
      <w:marTop w:val="0"/>
      <w:marBottom w:val="0"/>
      <w:divBdr>
        <w:top w:val="none" w:sz="0" w:space="0" w:color="auto"/>
        <w:left w:val="none" w:sz="0" w:space="0" w:color="auto"/>
        <w:bottom w:val="none" w:sz="0" w:space="0" w:color="auto"/>
        <w:right w:val="none" w:sz="0" w:space="0" w:color="auto"/>
      </w:divBdr>
    </w:div>
    <w:div w:id="1249265723">
      <w:bodyDiv w:val="1"/>
      <w:marLeft w:val="0"/>
      <w:marRight w:val="0"/>
      <w:marTop w:val="0"/>
      <w:marBottom w:val="0"/>
      <w:divBdr>
        <w:top w:val="none" w:sz="0" w:space="0" w:color="auto"/>
        <w:left w:val="none" w:sz="0" w:space="0" w:color="auto"/>
        <w:bottom w:val="none" w:sz="0" w:space="0" w:color="auto"/>
        <w:right w:val="none" w:sz="0" w:space="0" w:color="auto"/>
      </w:divBdr>
    </w:div>
    <w:div w:id="1277102157">
      <w:bodyDiv w:val="1"/>
      <w:marLeft w:val="0"/>
      <w:marRight w:val="0"/>
      <w:marTop w:val="0"/>
      <w:marBottom w:val="0"/>
      <w:divBdr>
        <w:top w:val="none" w:sz="0" w:space="0" w:color="auto"/>
        <w:left w:val="none" w:sz="0" w:space="0" w:color="auto"/>
        <w:bottom w:val="none" w:sz="0" w:space="0" w:color="auto"/>
        <w:right w:val="none" w:sz="0" w:space="0" w:color="auto"/>
      </w:divBdr>
    </w:div>
    <w:div w:id="1290891129">
      <w:bodyDiv w:val="1"/>
      <w:marLeft w:val="0"/>
      <w:marRight w:val="0"/>
      <w:marTop w:val="0"/>
      <w:marBottom w:val="0"/>
      <w:divBdr>
        <w:top w:val="none" w:sz="0" w:space="0" w:color="auto"/>
        <w:left w:val="none" w:sz="0" w:space="0" w:color="auto"/>
        <w:bottom w:val="none" w:sz="0" w:space="0" w:color="auto"/>
        <w:right w:val="none" w:sz="0" w:space="0" w:color="auto"/>
      </w:divBdr>
    </w:div>
    <w:div w:id="1297562719">
      <w:bodyDiv w:val="1"/>
      <w:marLeft w:val="0"/>
      <w:marRight w:val="0"/>
      <w:marTop w:val="0"/>
      <w:marBottom w:val="0"/>
      <w:divBdr>
        <w:top w:val="none" w:sz="0" w:space="0" w:color="auto"/>
        <w:left w:val="none" w:sz="0" w:space="0" w:color="auto"/>
        <w:bottom w:val="none" w:sz="0" w:space="0" w:color="auto"/>
        <w:right w:val="none" w:sz="0" w:space="0" w:color="auto"/>
      </w:divBdr>
    </w:div>
    <w:div w:id="1300191679">
      <w:bodyDiv w:val="1"/>
      <w:marLeft w:val="0"/>
      <w:marRight w:val="0"/>
      <w:marTop w:val="0"/>
      <w:marBottom w:val="0"/>
      <w:divBdr>
        <w:top w:val="none" w:sz="0" w:space="0" w:color="auto"/>
        <w:left w:val="none" w:sz="0" w:space="0" w:color="auto"/>
        <w:bottom w:val="none" w:sz="0" w:space="0" w:color="auto"/>
        <w:right w:val="none" w:sz="0" w:space="0" w:color="auto"/>
      </w:divBdr>
    </w:div>
    <w:div w:id="1329596013">
      <w:bodyDiv w:val="1"/>
      <w:marLeft w:val="0"/>
      <w:marRight w:val="0"/>
      <w:marTop w:val="0"/>
      <w:marBottom w:val="0"/>
      <w:divBdr>
        <w:top w:val="none" w:sz="0" w:space="0" w:color="auto"/>
        <w:left w:val="none" w:sz="0" w:space="0" w:color="auto"/>
        <w:bottom w:val="none" w:sz="0" w:space="0" w:color="auto"/>
        <w:right w:val="none" w:sz="0" w:space="0" w:color="auto"/>
      </w:divBdr>
    </w:div>
    <w:div w:id="1335524741">
      <w:bodyDiv w:val="1"/>
      <w:marLeft w:val="0"/>
      <w:marRight w:val="0"/>
      <w:marTop w:val="0"/>
      <w:marBottom w:val="0"/>
      <w:divBdr>
        <w:top w:val="none" w:sz="0" w:space="0" w:color="auto"/>
        <w:left w:val="none" w:sz="0" w:space="0" w:color="auto"/>
        <w:bottom w:val="none" w:sz="0" w:space="0" w:color="auto"/>
        <w:right w:val="none" w:sz="0" w:space="0" w:color="auto"/>
      </w:divBdr>
    </w:div>
    <w:div w:id="1369522856">
      <w:bodyDiv w:val="1"/>
      <w:marLeft w:val="0"/>
      <w:marRight w:val="0"/>
      <w:marTop w:val="0"/>
      <w:marBottom w:val="0"/>
      <w:divBdr>
        <w:top w:val="none" w:sz="0" w:space="0" w:color="auto"/>
        <w:left w:val="none" w:sz="0" w:space="0" w:color="auto"/>
        <w:bottom w:val="none" w:sz="0" w:space="0" w:color="auto"/>
        <w:right w:val="none" w:sz="0" w:space="0" w:color="auto"/>
      </w:divBdr>
    </w:div>
    <w:div w:id="1385906718">
      <w:bodyDiv w:val="1"/>
      <w:marLeft w:val="0"/>
      <w:marRight w:val="0"/>
      <w:marTop w:val="0"/>
      <w:marBottom w:val="0"/>
      <w:divBdr>
        <w:top w:val="none" w:sz="0" w:space="0" w:color="auto"/>
        <w:left w:val="none" w:sz="0" w:space="0" w:color="auto"/>
        <w:bottom w:val="none" w:sz="0" w:space="0" w:color="auto"/>
        <w:right w:val="none" w:sz="0" w:space="0" w:color="auto"/>
      </w:divBdr>
    </w:div>
    <w:div w:id="1407848577">
      <w:bodyDiv w:val="1"/>
      <w:marLeft w:val="0"/>
      <w:marRight w:val="0"/>
      <w:marTop w:val="0"/>
      <w:marBottom w:val="0"/>
      <w:divBdr>
        <w:top w:val="none" w:sz="0" w:space="0" w:color="auto"/>
        <w:left w:val="none" w:sz="0" w:space="0" w:color="auto"/>
        <w:bottom w:val="none" w:sz="0" w:space="0" w:color="auto"/>
        <w:right w:val="none" w:sz="0" w:space="0" w:color="auto"/>
      </w:divBdr>
    </w:div>
    <w:div w:id="1408726241">
      <w:bodyDiv w:val="1"/>
      <w:marLeft w:val="0"/>
      <w:marRight w:val="0"/>
      <w:marTop w:val="0"/>
      <w:marBottom w:val="0"/>
      <w:divBdr>
        <w:top w:val="none" w:sz="0" w:space="0" w:color="auto"/>
        <w:left w:val="none" w:sz="0" w:space="0" w:color="auto"/>
        <w:bottom w:val="none" w:sz="0" w:space="0" w:color="auto"/>
        <w:right w:val="none" w:sz="0" w:space="0" w:color="auto"/>
      </w:divBdr>
    </w:div>
    <w:div w:id="1418863906">
      <w:bodyDiv w:val="1"/>
      <w:marLeft w:val="0"/>
      <w:marRight w:val="0"/>
      <w:marTop w:val="0"/>
      <w:marBottom w:val="0"/>
      <w:divBdr>
        <w:top w:val="none" w:sz="0" w:space="0" w:color="auto"/>
        <w:left w:val="none" w:sz="0" w:space="0" w:color="auto"/>
        <w:bottom w:val="none" w:sz="0" w:space="0" w:color="auto"/>
        <w:right w:val="none" w:sz="0" w:space="0" w:color="auto"/>
      </w:divBdr>
    </w:div>
    <w:div w:id="1426262582">
      <w:bodyDiv w:val="1"/>
      <w:marLeft w:val="0"/>
      <w:marRight w:val="0"/>
      <w:marTop w:val="0"/>
      <w:marBottom w:val="0"/>
      <w:divBdr>
        <w:top w:val="none" w:sz="0" w:space="0" w:color="auto"/>
        <w:left w:val="none" w:sz="0" w:space="0" w:color="auto"/>
        <w:bottom w:val="none" w:sz="0" w:space="0" w:color="auto"/>
        <w:right w:val="none" w:sz="0" w:space="0" w:color="auto"/>
      </w:divBdr>
    </w:div>
    <w:div w:id="1429039133">
      <w:bodyDiv w:val="1"/>
      <w:marLeft w:val="0"/>
      <w:marRight w:val="0"/>
      <w:marTop w:val="0"/>
      <w:marBottom w:val="0"/>
      <w:divBdr>
        <w:top w:val="none" w:sz="0" w:space="0" w:color="auto"/>
        <w:left w:val="none" w:sz="0" w:space="0" w:color="auto"/>
        <w:bottom w:val="none" w:sz="0" w:space="0" w:color="auto"/>
        <w:right w:val="none" w:sz="0" w:space="0" w:color="auto"/>
      </w:divBdr>
    </w:div>
    <w:div w:id="1433941660">
      <w:bodyDiv w:val="1"/>
      <w:marLeft w:val="0"/>
      <w:marRight w:val="0"/>
      <w:marTop w:val="0"/>
      <w:marBottom w:val="0"/>
      <w:divBdr>
        <w:top w:val="none" w:sz="0" w:space="0" w:color="auto"/>
        <w:left w:val="none" w:sz="0" w:space="0" w:color="auto"/>
        <w:bottom w:val="none" w:sz="0" w:space="0" w:color="auto"/>
        <w:right w:val="none" w:sz="0" w:space="0" w:color="auto"/>
      </w:divBdr>
    </w:div>
    <w:div w:id="1459102931">
      <w:bodyDiv w:val="1"/>
      <w:marLeft w:val="0"/>
      <w:marRight w:val="0"/>
      <w:marTop w:val="0"/>
      <w:marBottom w:val="0"/>
      <w:divBdr>
        <w:top w:val="none" w:sz="0" w:space="0" w:color="auto"/>
        <w:left w:val="none" w:sz="0" w:space="0" w:color="auto"/>
        <w:bottom w:val="none" w:sz="0" w:space="0" w:color="auto"/>
        <w:right w:val="none" w:sz="0" w:space="0" w:color="auto"/>
      </w:divBdr>
    </w:div>
    <w:div w:id="1462457999">
      <w:bodyDiv w:val="1"/>
      <w:marLeft w:val="0"/>
      <w:marRight w:val="0"/>
      <w:marTop w:val="0"/>
      <w:marBottom w:val="0"/>
      <w:divBdr>
        <w:top w:val="none" w:sz="0" w:space="0" w:color="auto"/>
        <w:left w:val="none" w:sz="0" w:space="0" w:color="auto"/>
        <w:bottom w:val="none" w:sz="0" w:space="0" w:color="auto"/>
        <w:right w:val="none" w:sz="0" w:space="0" w:color="auto"/>
      </w:divBdr>
    </w:div>
    <w:div w:id="1470394407">
      <w:bodyDiv w:val="1"/>
      <w:marLeft w:val="0"/>
      <w:marRight w:val="0"/>
      <w:marTop w:val="0"/>
      <w:marBottom w:val="0"/>
      <w:divBdr>
        <w:top w:val="none" w:sz="0" w:space="0" w:color="auto"/>
        <w:left w:val="none" w:sz="0" w:space="0" w:color="auto"/>
        <w:bottom w:val="none" w:sz="0" w:space="0" w:color="auto"/>
        <w:right w:val="none" w:sz="0" w:space="0" w:color="auto"/>
      </w:divBdr>
    </w:div>
    <w:div w:id="1529565005">
      <w:bodyDiv w:val="1"/>
      <w:marLeft w:val="0"/>
      <w:marRight w:val="0"/>
      <w:marTop w:val="0"/>
      <w:marBottom w:val="0"/>
      <w:divBdr>
        <w:top w:val="none" w:sz="0" w:space="0" w:color="auto"/>
        <w:left w:val="none" w:sz="0" w:space="0" w:color="auto"/>
        <w:bottom w:val="none" w:sz="0" w:space="0" w:color="auto"/>
        <w:right w:val="none" w:sz="0" w:space="0" w:color="auto"/>
      </w:divBdr>
    </w:div>
    <w:div w:id="1540240467">
      <w:bodyDiv w:val="1"/>
      <w:marLeft w:val="0"/>
      <w:marRight w:val="0"/>
      <w:marTop w:val="0"/>
      <w:marBottom w:val="0"/>
      <w:divBdr>
        <w:top w:val="none" w:sz="0" w:space="0" w:color="auto"/>
        <w:left w:val="none" w:sz="0" w:space="0" w:color="auto"/>
        <w:bottom w:val="none" w:sz="0" w:space="0" w:color="auto"/>
        <w:right w:val="none" w:sz="0" w:space="0" w:color="auto"/>
      </w:divBdr>
    </w:div>
    <w:div w:id="1575385127">
      <w:bodyDiv w:val="1"/>
      <w:marLeft w:val="0"/>
      <w:marRight w:val="0"/>
      <w:marTop w:val="0"/>
      <w:marBottom w:val="0"/>
      <w:divBdr>
        <w:top w:val="none" w:sz="0" w:space="0" w:color="auto"/>
        <w:left w:val="none" w:sz="0" w:space="0" w:color="auto"/>
        <w:bottom w:val="none" w:sz="0" w:space="0" w:color="auto"/>
        <w:right w:val="none" w:sz="0" w:space="0" w:color="auto"/>
      </w:divBdr>
    </w:div>
    <w:div w:id="1577132560">
      <w:bodyDiv w:val="1"/>
      <w:marLeft w:val="0"/>
      <w:marRight w:val="0"/>
      <w:marTop w:val="0"/>
      <w:marBottom w:val="0"/>
      <w:divBdr>
        <w:top w:val="none" w:sz="0" w:space="0" w:color="auto"/>
        <w:left w:val="none" w:sz="0" w:space="0" w:color="auto"/>
        <w:bottom w:val="none" w:sz="0" w:space="0" w:color="auto"/>
        <w:right w:val="none" w:sz="0" w:space="0" w:color="auto"/>
      </w:divBdr>
    </w:div>
    <w:div w:id="1584879615">
      <w:bodyDiv w:val="1"/>
      <w:marLeft w:val="0"/>
      <w:marRight w:val="0"/>
      <w:marTop w:val="0"/>
      <w:marBottom w:val="0"/>
      <w:divBdr>
        <w:top w:val="none" w:sz="0" w:space="0" w:color="auto"/>
        <w:left w:val="none" w:sz="0" w:space="0" w:color="auto"/>
        <w:bottom w:val="none" w:sz="0" w:space="0" w:color="auto"/>
        <w:right w:val="none" w:sz="0" w:space="0" w:color="auto"/>
      </w:divBdr>
    </w:div>
    <w:div w:id="1620257899">
      <w:bodyDiv w:val="1"/>
      <w:marLeft w:val="0"/>
      <w:marRight w:val="0"/>
      <w:marTop w:val="0"/>
      <w:marBottom w:val="0"/>
      <w:divBdr>
        <w:top w:val="none" w:sz="0" w:space="0" w:color="auto"/>
        <w:left w:val="none" w:sz="0" w:space="0" w:color="auto"/>
        <w:bottom w:val="none" w:sz="0" w:space="0" w:color="auto"/>
        <w:right w:val="none" w:sz="0" w:space="0" w:color="auto"/>
      </w:divBdr>
    </w:div>
    <w:div w:id="1631285498">
      <w:bodyDiv w:val="1"/>
      <w:marLeft w:val="0"/>
      <w:marRight w:val="0"/>
      <w:marTop w:val="0"/>
      <w:marBottom w:val="0"/>
      <w:divBdr>
        <w:top w:val="none" w:sz="0" w:space="0" w:color="auto"/>
        <w:left w:val="none" w:sz="0" w:space="0" w:color="auto"/>
        <w:bottom w:val="none" w:sz="0" w:space="0" w:color="auto"/>
        <w:right w:val="none" w:sz="0" w:space="0" w:color="auto"/>
      </w:divBdr>
    </w:div>
    <w:div w:id="1631471526">
      <w:bodyDiv w:val="1"/>
      <w:marLeft w:val="0"/>
      <w:marRight w:val="0"/>
      <w:marTop w:val="0"/>
      <w:marBottom w:val="0"/>
      <w:divBdr>
        <w:top w:val="none" w:sz="0" w:space="0" w:color="auto"/>
        <w:left w:val="none" w:sz="0" w:space="0" w:color="auto"/>
        <w:bottom w:val="none" w:sz="0" w:space="0" w:color="auto"/>
        <w:right w:val="none" w:sz="0" w:space="0" w:color="auto"/>
      </w:divBdr>
    </w:div>
    <w:div w:id="1669822406">
      <w:bodyDiv w:val="1"/>
      <w:marLeft w:val="0"/>
      <w:marRight w:val="0"/>
      <w:marTop w:val="0"/>
      <w:marBottom w:val="0"/>
      <w:divBdr>
        <w:top w:val="none" w:sz="0" w:space="0" w:color="auto"/>
        <w:left w:val="none" w:sz="0" w:space="0" w:color="auto"/>
        <w:bottom w:val="none" w:sz="0" w:space="0" w:color="auto"/>
        <w:right w:val="none" w:sz="0" w:space="0" w:color="auto"/>
      </w:divBdr>
    </w:div>
    <w:div w:id="1700351989">
      <w:bodyDiv w:val="1"/>
      <w:marLeft w:val="0"/>
      <w:marRight w:val="0"/>
      <w:marTop w:val="0"/>
      <w:marBottom w:val="0"/>
      <w:divBdr>
        <w:top w:val="none" w:sz="0" w:space="0" w:color="auto"/>
        <w:left w:val="none" w:sz="0" w:space="0" w:color="auto"/>
        <w:bottom w:val="none" w:sz="0" w:space="0" w:color="auto"/>
        <w:right w:val="none" w:sz="0" w:space="0" w:color="auto"/>
      </w:divBdr>
    </w:div>
    <w:div w:id="1705785078">
      <w:bodyDiv w:val="1"/>
      <w:marLeft w:val="0"/>
      <w:marRight w:val="0"/>
      <w:marTop w:val="0"/>
      <w:marBottom w:val="0"/>
      <w:divBdr>
        <w:top w:val="none" w:sz="0" w:space="0" w:color="auto"/>
        <w:left w:val="none" w:sz="0" w:space="0" w:color="auto"/>
        <w:bottom w:val="none" w:sz="0" w:space="0" w:color="auto"/>
        <w:right w:val="none" w:sz="0" w:space="0" w:color="auto"/>
      </w:divBdr>
    </w:div>
    <w:div w:id="1714308130">
      <w:bodyDiv w:val="1"/>
      <w:marLeft w:val="0"/>
      <w:marRight w:val="0"/>
      <w:marTop w:val="0"/>
      <w:marBottom w:val="0"/>
      <w:divBdr>
        <w:top w:val="none" w:sz="0" w:space="0" w:color="auto"/>
        <w:left w:val="none" w:sz="0" w:space="0" w:color="auto"/>
        <w:bottom w:val="none" w:sz="0" w:space="0" w:color="auto"/>
        <w:right w:val="none" w:sz="0" w:space="0" w:color="auto"/>
      </w:divBdr>
    </w:div>
    <w:div w:id="1716928914">
      <w:bodyDiv w:val="1"/>
      <w:marLeft w:val="0"/>
      <w:marRight w:val="0"/>
      <w:marTop w:val="0"/>
      <w:marBottom w:val="0"/>
      <w:divBdr>
        <w:top w:val="none" w:sz="0" w:space="0" w:color="auto"/>
        <w:left w:val="none" w:sz="0" w:space="0" w:color="auto"/>
        <w:bottom w:val="none" w:sz="0" w:space="0" w:color="auto"/>
        <w:right w:val="none" w:sz="0" w:space="0" w:color="auto"/>
      </w:divBdr>
    </w:div>
    <w:div w:id="1721435204">
      <w:bodyDiv w:val="1"/>
      <w:marLeft w:val="0"/>
      <w:marRight w:val="0"/>
      <w:marTop w:val="0"/>
      <w:marBottom w:val="0"/>
      <w:divBdr>
        <w:top w:val="none" w:sz="0" w:space="0" w:color="auto"/>
        <w:left w:val="none" w:sz="0" w:space="0" w:color="auto"/>
        <w:bottom w:val="none" w:sz="0" w:space="0" w:color="auto"/>
        <w:right w:val="none" w:sz="0" w:space="0" w:color="auto"/>
      </w:divBdr>
    </w:div>
    <w:div w:id="1739287172">
      <w:bodyDiv w:val="1"/>
      <w:marLeft w:val="0"/>
      <w:marRight w:val="0"/>
      <w:marTop w:val="0"/>
      <w:marBottom w:val="0"/>
      <w:divBdr>
        <w:top w:val="none" w:sz="0" w:space="0" w:color="auto"/>
        <w:left w:val="none" w:sz="0" w:space="0" w:color="auto"/>
        <w:bottom w:val="none" w:sz="0" w:space="0" w:color="auto"/>
        <w:right w:val="none" w:sz="0" w:space="0" w:color="auto"/>
      </w:divBdr>
    </w:div>
    <w:div w:id="1745909074">
      <w:bodyDiv w:val="1"/>
      <w:marLeft w:val="0"/>
      <w:marRight w:val="0"/>
      <w:marTop w:val="0"/>
      <w:marBottom w:val="0"/>
      <w:divBdr>
        <w:top w:val="none" w:sz="0" w:space="0" w:color="auto"/>
        <w:left w:val="none" w:sz="0" w:space="0" w:color="auto"/>
        <w:bottom w:val="none" w:sz="0" w:space="0" w:color="auto"/>
        <w:right w:val="none" w:sz="0" w:space="0" w:color="auto"/>
      </w:divBdr>
    </w:div>
    <w:div w:id="1770464727">
      <w:bodyDiv w:val="1"/>
      <w:marLeft w:val="0"/>
      <w:marRight w:val="0"/>
      <w:marTop w:val="0"/>
      <w:marBottom w:val="0"/>
      <w:divBdr>
        <w:top w:val="none" w:sz="0" w:space="0" w:color="auto"/>
        <w:left w:val="none" w:sz="0" w:space="0" w:color="auto"/>
        <w:bottom w:val="none" w:sz="0" w:space="0" w:color="auto"/>
        <w:right w:val="none" w:sz="0" w:space="0" w:color="auto"/>
      </w:divBdr>
    </w:div>
    <w:div w:id="1778600614">
      <w:bodyDiv w:val="1"/>
      <w:marLeft w:val="0"/>
      <w:marRight w:val="0"/>
      <w:marTop w:val="0"/>
      <w:marBottom w:val="0"/>
      <w:divBdr>
        <w:top w:val="none" w:sz="0" w:space="0" w:color="auto"/>
        <w:left w:val="none" w:sz="0" w:space="0" w:color="auto"/>
        <w:bottom w:val="none" w:sz="0" w:space="0" w:color="auto"/>
        <w:right w:val="none" w:sz="0" w:space="0" w:color="auto"/>
      </w:divBdr>
    </w:div>
    <w:div w:id="1785074177">
      <w:bodyDiv w:val="1"/>
      <w:marLeft w:val="0"/>
      <w:marRight w:val="0"/>
      <w:marTop w:val="0"/>
      <w:marBottom w:val="0"/>
      <w:divBdr>
        <w:top w:val="none" w:sz="0" w:space="0" w:color="auto"/>
        <w:left w:val="none" w:sz="0" w:space="0" w:color="auto"/>
        <w:bottom w:val="none" w:sz="0" w:space="0" w:color="auto"/>
        <w:right w:val="none" w:sz="0" w:space="0" w:color="auto"/>
      </w:divBdr>
    </w:div>
    <w:div w:id="1798177792">
      <w:bodyDiv w:val="1"/>
      <w:marLeft w:val="0"/>
      <w:marRight w:val="0"/>
      <w:marTop w:val="0"/>
      <w:marBottom w:val="0"/>
      <w:divBdr>
        <w:top w:val="none" w:sz="0" w:space="0" w:color="auto"/>
        <w:left w:val="none" w:sz="0" w:space="0" w:color="auto"/>
        <w:bottom w:val="none" w:sz="0" w:space="0" w:color="auto"/>
        <w:right w:val="none" w:sz="0" w:space="0" w:color="auto"/>
      </w:divBdr>
    </w:div>
    <w:div w:id="1817601117">
      <w:bodyDiv w:val="1"/>
      <w:marLeft w:val="0"/>
      <w:marRight w:val="0"/>
      <w:marTop w:val="0"/>
      <w:marBottom w:val="0"/>
      <w:divBdr>
        <w:top w:val="none" w:sz="0" w:space="0" w:color="auto"/>
        <w:left w:val="none" w:sz="0" w:space="0" w:color="auto"/>
        <w:bottom w:val="none" w:sz="0" w:space="0" w:color="auto"/>
        <w:right w:val="none" w:sz="0" w:space="0" w:color="auto"/>
      </w:divBdr>
    </w:div>
    <w:div w:id="1824079824">
      <w:bodyDiv w:val="1"/>
      <w:marLeft w:val="0"/>
      <w:marRight w:val="0"/>
      <w:marTop w:val="0"/>
      <w:marBottom w:val="0"/>
      <w:divBdr>
        <w:top w:val="none" w:sz="0" w:space="0" w:color="auto"/>
        <w:left w:val="none" w:sz="0" w:space="0" w:color="auto"/>
        <w:bottom w:val="none" w:sz="0" w:space="0" w:color="auto"/>
        <w:right w:val="none" w:sz="0" w:space="0" w:color="auto"/>
      </w:divBdr>
    </w:div>
    <w:div w:id="1849565461">
      <w:bodyDiv w:val="1"/>
      <w:marLeft w:val="0"/>
      <w:marRight w:val="0"/>
      <w:marTop w:val="0"/>
      <w:marBottom w:val="0"/>
      <w:divBdr>
        <w:top w:val="none" w:sz="0" w:space="0" w:color="auto"/>
        <w:left w:val="none" w:sz="0" w:space="0" w:color="auto"/>
        <w:bottom w:val="none" w:sz="0" w:space="0" w:color="auto"/>
        <w:right w:val="none" w:sz="0" w:space="0" w:color="auto"/>
      </w:divBdr>
    </w:div>
    <w:div w:id="1850289593">
      <w:bodyDiv w:val="1"/>
      <w:marLeft w:val="0"/>
      <w:marRight w:val="0"/>
      <w:marTop w:val="0"/>
      <w:marBottom w:val="0"/>
      <w:divBdr>
        <w:top w:val="none" w:sz="0" w:space="0" w:color="auto"/>
        <w:left w:val="none" w:sz="0" w:space="0" w:color="auto"/>
        <w:bottom w:val="none" w:sz="0" w:space="0" w:color="auto"/>
        <w:right w:val="none" w:sz="0" w:space="0" w:color="auto"/>
      </w:divBdr>
    </w:div>
    <w:div w:id="1862664553">
      <w:bodyDiv w:val="1"/>
      <w:marLeft w:val="0"/>
      <w:marRight w:val="0"/>
      <w:marTop w:val="0"/>
      <w:marBottom w:val="0"/>
      <w:divBdr>
        <w:top w:val="none" w:sz="0" w:space="0" w:color="auto"/>
        <w:left w:val="none" w:sz="0" w:space="0" w:color="auto"/>
        <w:bottom w:val="none" w:sz="0" w:space="0" w:color="auto"/>
        <w:right w:val="none" w:sz="0" w:space="0" w:color="auto"/>
      </w:divBdr>
    </w:div>
    <w:div w:id="1880438682">
      <w:bodyDiv w:val="1"/>
      <w:marLeft w:val="0"/>
      <w:marRight w:val="0"/>
      <w:marTop w:val="0"/>
      <w:marBottom w:val="0"/>
      <w:divBdr>
        <w:top w:val="none" w:sz="0" w:space="0" w:color="auto"/>
        <w:left w:val="none" w:sz="0" w:space="0" w:color="auto"/>
        <w:bottom w:val="none" w:sz="0" w:space="0" w:color="auto"/>
        <w:right w:val="none" w:sz="0" w:space="0" w:color="auto"/>
      </w:divBdr>
    </w:div>
    <w:div w:id="1882744622">
      <w:bodyDiv w:val="1"/>
      <w:marLeft w:val="0"/>
      <w:marRight w:val="0"/>
      <w:marTop w:val="0"/>
      <w:marBottom w:val="0"/>
      <w:divBdr>
        <w:top w:val="none" w:sz="0" w:space="0" w:color="auto"/>
        <w:left w:val="none" w:sz="0" w:space="0" w:color="auto"/>
        <w:bottom w:val="none" w:sz="0" w:space="0" w:color="auto"/>
        <w:right w:val="none" w:sz="0" w:space="0" w:color="auto"/>
      </w:divBdr>
    </w:div>
    <w:div w:id="1898272831">
      <w:bodyDiv w:val="1"/>
      <w:marLeft w:val="0"/>
      <w:marRight w:val="0"/>
      <w:marTop w:val="0"/>
      <w:marBottom w:val="0"/>
      <w:divBdr>
        <w:top w:val="none" w:sz="0" w:space="0" w:color="auto"/>
        <w:left w:val="none" w:sz="0" w:space="0" w:color="auto"/>
        <w:bottom w:val="none" w:sz="0" w:space="0" w:color="auto"/>
        <w:right w:val="none" w:sz="0" w:space="0" w:color="auto"/>
      </w:divBdr>
    </w:div>
    <w:div w:id="1901987174">
      <w:bodyDiv w:val="1"/>
      <w:marLeft w:val="0"/>
      <w:marRight w:val="0"/>
      <w:marTop w:val="0"/>
      <w:marBottom w:val="0"/>
      <w:divBdr>
        <w:top w:val="none" w:sz="0" w:space="0" w:color="auto"/>
        <w:left w:val="none" w:sz="0" w:space="0" w:color="auto"/>
        <w:bottom w:val="none" w:sz="0" w:space="0" w:color="auto"/>
        <w:right w:val="none" w:sz="0" w:space="0" w:color="auto"/>
      </w:divBdr>
    </w:div>
    <w:div w:id="1906795316">
      <w:bodyDiv w:val="1"/>
      <w:marLeft w:val="0"/>
      <w:marRight w:val="0"/>
      <w:marTop w:val="0"/>
      <w:marBottom w:val="0"/>
      <w:divBdr>
        <w:top w:val="none" w:sz="0" w:space="0" w:color="auto"/>
        <w:left w:val="none" w:sz="0" w:space="0" w:color="auto"/>
        <w:bottom w:val="none" w:sz="0" w:space="0" w:color="auto"/>
        <w:right w:val="none" w:sz="0" w:space="0" w:color="auto"/>
      </w:divBdr>
    </w:div>
    <w:div w:id="1913274150">
      <w:bodyDiv w:val="1"/>
      <w:marLeft w:val="0"/>
      <w:marRight w:val="0"/>
      <w:marTop w:val="0"/>
      <w:marBottom w:val="0"/>
      <w:divBdr>
        <w:top w:val="none" w:sz="0" w:space="0" w:color="auto"/>
        <w:left w:val="none" w:sz="0" w:space="0" w:color="auto"/>
        <w:bottom w:val="none" w:sz="0" w:space="0" w:color="auto"/>
        <w:right w:val="none" w:sz="0" w:space="0" w:color="auto"/>
      </w:divBdr>
    </w:div>
    <w:div w:id="1918973879">
      <w:bodyDiv w:val="1"/>
      <w:marLeft w:val="0"/>
      <w:marRight w:val="0"/>
      <w:marTop w:val="0"/>
      <w:marBottom w:val="0"/>
      <w:divBdr>
        <w:top w:val="none" w:sz="0" w:space="0" w:color="auto"/>
        <w:left w:val="none" w:sz="0" w:space="0" w:color="auto"/>
        <w:bottom w:val="none" w:sz="0" w:space="0" w:color="auto"/>
        <w:right w:val="none" w:sz="0" w:space="0" w:color="auto"/>
      </w:divBdr>
    </w:div>
    <w:div w:id="1932659996">
      <w:bodyDiv w:val="1"/>
      <w:marLeft w:val="0"/>
      <w:marRight w:val="0"/>
      <w:marTop w:val="0"/>
      <w:marBottom w:val="0"/>
      <w:divBdr>
        <w:top w:val="none" w:sz="0" w:space="0" w:color="auto"/>
        <w:left w:val="none" w:sz="0" w:space="0" w:color="auto"/>
        <w:bottom w:val="none" w:sz="0" w:space="0" w:color="auto"/>
        <w:right w:val="none" w:sz="0" w:space="0" w:color="auto"/>
      </w:divBdr>
    </w:div>
    <w:div w:id="1932817098">
      <w:bodyDiv w:val="1"/>
      <w:marLeft w:val="0"/>
      <w:marRight w:val="0"/>
      <w:marTop w:val="0"/>
      <w:marBottom w:val="0"/>
      <w:divBdr>
        <w:top w:val="none" w:sz="0" w:space="0" w:color="auto"/>
        <w:left w:val="none" w:sz="0" w:space="0" w:color="auto"/>
        <w:bottom w:val="none" w:sz="0" w:space="0" w:color="auto"/>
        <w:right w:val="none" w:sz="0" w:space="0" w:color="auto"/>
      </w:divBdr>
    </w:div>
    <w:div w:id="1946301649">
      <w:bodyDiv w:val="1"/>
      <w:marLeft w:val="0"/>
      <w:marRight w:val="0"/>
      <w:marTop w:val="0"/>
      <w:marBottom w:val="0"/>
      <w:divBdr>
        <w:top w:val="none" w:sz="0" w:space="0" w:color="auto"/>
        <w:left w:val="none" w:sz="0" w:space="0" w:color="auto"/>
        <w:bottom w:val="none" w:sz="0" w:space="0" w:color="auto"/>
        <w:right w:val="none" w:sz="0" w:space="0" w:color="auto"/>
      </w:divBdr>
    </w:div>
    <w:div w:id="1953122167">
      <w:bodyDiv w:val="1"/>
      <w:marLeft w:val="0"/>
      <w:marRight w:val="0"/>
      <w:marTop w:val="0"/>
      <w:marBottom w:val="0"/>
      <w:divBdr>
        <w:top w:val="none" w:sz="0" w:space="0" w:color="auto"/>
        <w:left w:val="none" w:sz="0" w:space="0" w:color="auto"/>
        <w:bottom w:val="none" w:sz="0" w:space="0" w:color="auto"/>
        <w:right w:val="none" w:sz="0" w:space="0" w:color="auto"/>
      </w:divBdr>
    </w:div>
    <w:div w:id="1960843548">
      <w:bodyDiv w:val="1"/>
      <w:marLeft w:val="0"/>
      <w:marRight w:val="0"/>
      <w:marTop w:val="0"/>
      <w:marBottom w:val="0"/>
      <w:divBdr>
        <w:top w:val="none" w:sz="0" w:space="0" w:color="auto"/>
        <w:left w:val="none" w:sz="0" w:space="0" w:color="auto"/>
        <w:bottom w:val="none" w:sz="0" w:space="0" w:color="auto"/>
        <w:right w:val="none" w:sz="0" w:space="0" w:color="auto"/>
      </w:divBdr>
    </w:div>
    <w:div w:id="1963538255">
      <w:bodyDiv w:val="1"/>
      <w:marLeft w:val="0"/>
      <w:marRight w:val="0"/>
      <w:marTop w:val="0"/>
      <w:marBottom w:val="0"/>
      <w:divBdr>
        <w:top w:val="none" w:sz="0" w:space="0" w:color="auto"/>
        <w:left w:val="none" w:sz="0" w:space="0" w:color="auto"/>
        <w:bottom w:val="none" w:sz="0" w:space="0" w:color="auto"/>
        <w:right w:val="none" w:sz="0" w:space="0" w:color="auto"/>
      </w:divBdr>
    </w:div>
    <w:div w:id="2022199718">
      <w:bodyDiv w:val="1"/>
      <w:marLeft w:val="0"/>
      <w:marRight w:val="0"/>
      <w:marTop w:val="0"/>
      <w:marBottom w:val="0"/>
      <w:divBdr>
        <w:top w:val="none" w:sz="0" w:space="0" w:color="auto"/>
        <w:left w:val="none" w:sz="0" w:space="0" w:color="auto"/>
        <w:bottom w:val="none" w:sz="0" w:space="0" w:color="auto"/>
        <w:right w:val="none" w:sz="0" w:space="0" w:color="auto"/>
      </w:divBdr>
    </w:div>
    <w:div w:id="2033261383">
      <w:bodyDiv w:val="1"/>
      <w:marLeft w:val="0"/>
      <w:marRight w:val="0"/>
      <w:marTop w:val="0"/>
      <w:marBottom w:val="0"/>
      <w:divBdr>
        <w:top w:val="none" w:sz="0" w:space="0" w:color="auto"/>
        <w:left w:val="none" w:sz="0" w:space="0" w:color="auto"/>
        <w:bottom w:val="none" w:sz="0" w:space="0" w:color="auto"/>
        <w:right w:val="none" w:sz="0" w:space="0" w:color="auto"/>
      </w:divBdr>
    </w:div>
    <w:div w:id="2034186848">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7024383">
      <w:bodyDiv w:val="1"/>
      <w:marLeft w:val="0"/>
      <w:marRight w:val="0"/>
      <w:marTop w:val="0"/>
      <w:marBottom w:val="0"/>
      <w:divBdr>
        <w:top w:val="none" w:sz="0" w:space="0" w:color="auto"/>
        <w:left w:val="none" w:sz="0" w:space="0" w:color="auto"/>
        <w:bottom w:val="none" w:sz="0" w:space="0" w:color="auto"/>
        <w:right w:val="none" w:sz="0" w:space="0" w:color="auto"/>
      </w:divBdr>
    </w:div>
    <w:div w:id="2073455541">
      <w:bodyDiv w:val="1"/>
      <w:marLeft w:val="0"/>
      <w:marRight w:val="0"/>
      <w:marTop w:val="0"/>
      <w:marBottom w:val="0"/>
      <w:divBdr>
        <w:top w:val="none" w:sz="0" w:space="0" w:color="auto"/>
        <w:left w:val="none" w:sz="0" w:space="0" w:color="auto"/>
        <w:bottom w:val="none" w:sz="0" w:space="0" w:color="auto"/>
        <w:right w:val="none" w:sz="0" w:space="0" w:color="auto"/>
      </w:divBdr>
    </w:div>
    <w:div w:id="2081246685">
      <w:bodyDiv w:val="1"/>
      <w:marLeft w:val="0"/>
      <w:marRight w:val="0"/>
      <w:marTop w:val="0"/>
      <w:marBottom w:val="0"/>
      <w:divBdr>
        <w:top w:val="none" w:sz="0" w:space="0" w:color="auto"/>
        <w:left w:val="none" w:sz="0" w:space="0" w:color="auto"/>
        <w:bottom w:val="none" w:sz="0" w:space="0" w:color="auto"/>
        <w:right w:val="none" w:sz="0" w:space="0" w:color="auto"/>
      </w:divBdr>
    </w:div>
    <w:div w:id="2095081577">
      <w:bodyDiv w:val="1"/>
      <w:marLeft w:val="0"/>
      <w:marRight w:val="0"/>
      <w:marTop w:val="0"/>
      <w:marBottom w:val="0"/>
      <w:divBdr>
        <w:top w:val="none" w:sz="0" w:space="0" w:color="auto"/>
        <w:left w:val="none" w:sz="0" w:space="0" w:color="auto"/>
        <w:bottom w:val="none" w:sz="0" w:space="0" w:color="auto"/>
        <w:right w:val="none" w:sz="0" w:space="0" w:color="auto"/>
      </w:divBdr>
    </w:div>
    <w:div w:id="21239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BC94-8A92-4783-8582-49A22A60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19730</Words>
  <Characters>116408</Characters>
  <Application>Microsoft Office Word</Application>
  <DocSecurity>0</DocSecurity>
  <Lines>970</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2021-11-09T09:07:00Z</dcterms:created>
  <dcterms:modified xsi:type="dcterms:W3CDTF">2021-11-09T10:12:00Z</dcterms:modified>
</cp:coreProperties>
</file>